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99476">
      <w:pPr>
        <w:spacing w:before="120" w:after="120" w:line="700" w:lineRule="exact"/>
        <w:jc w:val="center"/>
        <w:rPr>
          <w:rFonts w:ascii="宋体" w:hAnsi="宋体" w:cs="宋体"/>
          <w:b/>
          <w:bCs/>
          <w:sz w:val="36"/>
          <w:szCs w:val="36"/>
        </w:rPr>
      </w:pPr>
      <w:r>
        <w:rPr>
          <w:highlight w:val="none"/>
        </w:rPr>
        <w:t> </w:t>
      </w:r>
    </w:p>
    <w:p w14:paraId="7083C6DF">
      <w:pPr>
        <w:pStyle w:val="12"/>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51F9E1A9">
      <w:pPr>
        <w:spacing w:line="360" w:lineRule="auto"/>
        <w:jc w:val="center"/>
        <w:outlineLvl w:val="0"/>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            </w:t>
      </w:r>
    </w:p>
    <w:p w14:paraId="5D02F55D">
      <w:pPr>
        <w:spacing w:line="360" w:lineRule="auto"/>
        <w:jc w:val="center"/>
        <w:outlineLvl w:val="0"/>
        <w:rPr>
          <w:rFonts w:hint="eastAsia" w:ascii="Arial" w:hAnsi="Arial" w:cs="Arial"/>
          <w:b/>
          <w:color w:val="000000"/>
          <w:sz w:val="32"/>
          <w:szCs w:val="32"/>
          <w:highlight w:val="none"/>
          <w:lang w:val="en-US" w:eastAsia="zh-CN"/>
        </w:rPr>
      </w:pPr>
    </w:p>
    <w:p w14:paraId="0BF4ED94">
      <w:pPr>
        <w:spacing w:line="360" w:lineRule="auto"/>
        <w:jc w:val="center"/>
        <w:outlineLvl w:val="0"/>
        <w:rPr>
          <w:rFonts w:hint="eastAsia" w:ascii="Arial" w:hAnsi="Arial" w:cs="Arial"/>
          <w:b/>
          <w:color w:val="000000"/>
          <w:sz w:val="32"/>
          <w:szCs w:val="32"/>
          <w:highlight w:val="none"/>
          <w:lang w:val="en-US" w:eastAsia="zh-CN"/>
        </w:rPr>
      </w:pPr>
    </w:p>
    <w:p w14:paraId="2120AA3D">
      <w:pPr>
        <w:spacing w:line="360" w:lineRule="auto"/>
        <w:jc w:val="center"/>
        <w:outlineLvl w:val="0"/>
        <w:rPr>
          <w:rFonts w:hint="eastAsia" w:ascii="宋体" w:eastAsia="宋体"/>
          <w:b/>
          <w:sz w:val="40"/>
          <w:szCs w:val="40"/>
          <w:lang w:eastAsia="zh-CN"/>
        </w:rPr>
      </w:pPr>
      <w:r>
        <w:rPr>
          <w:rFonts w:hint="eastAsia" w:ascii="Arial" w:hAnsi="Arial" w:cs="Arial"/>
          <w:b/>
          <w:color w:val="000000"/>
          <w:sz w:val="32"/>
          <w:szCs w:val="32"/>
          <w:highlight w:val="none"/>
          <w:lang w:val="en-US" w:eastAsia="zh-CN"/>
        </w:rPr>
        <w:t xml:space="preserve">        </w:t>
      </w:r>
      <w:r>
        <w:rPr>
          <w:rFonts w:ascii="Arial" w:hAnsi="Arial" w:cs="Arial"/>
          <w:b/>
          <w:color w:val="000000"/>
          <w:sz w:val="32"/>
          <w:szCs w:val="32"/>
          <w:highlight w:val="none"/>
        </w:rPr>
        <w:t>项目名称：</w:t>
      </w:r>
      <w:r>
        <w:rPr>
          <w:rFonts w:hint="eastAsia" w:ascii="Arial" w:hAnsi="Arial" w:cs="Arial"/>
          <w:b/>
          <w:color w:val="000000"/>
          <w:sz w:val="32"/>
          <w:szCs w:val="32"/>
          <w:highlight w:val="none"/>
          <w:lang w:val="en-US" w:eastAsia="zh-CN"/>
        </w:rPr>
        <w:t>盐城市大丰中医院消毒供应中心设备购置项目</w:t>
      </w:r>
    </w:p>
    <w:p w14:paraId="13D24034">
      <w:pPr>
        <w:pStyle w:val="12"/>
        <w:spacing w:before="120" w:beforeAutospacing="0" w:after="120" w:afterAutospacing="0" w:line="360" w:lineRule="auto"/>
        <w:ind w:firstLine="2249"/>
        <w:rPr>
          <w:highlight w:val="none"/>
        </w:rPr>
      </w:pPr>
    </w:p>
    <w:p w14:paraId="1CE3FFFA">
      <w:pPr>
        <w:pStyle w:val="12"/>
        <w:spacing w:before="120" w:beforeAutospacing="0" w:after="120" w:afterAutospacing="0" w:line="360" w:lineRule="auto"/>
        <w:ind w:firstLine="1606" w:firstLineChars="500"/>
        <w:jc w:val="both"/>
        <w:rPr>
          <w:rFonts w:hint="eastAsia" w:eastAsiaTheme="minorEastAsia"/>
          <w:highlight w:val="none"/>
          <w:lang w:eastAsia="zh-CN"/>
        </w:rPr>
      </w:pPr>
      <w:r>
        <w:rPr>
          <w:rFonts w:ascii="Arial" w:hAnsi="Arial" w:cs="Arial"/>
          <w:b/>
          <w:color w:val="000000"/>
          <w:sz w:val="32"/>
          <w:szCs w:val="32"/>
          <w:highlight w:val="none"/>
        </w:rPr>
        <w:t>项目编号：</w:t>
      </w:r>
      <w:r>
        <w:rPr>
          <w:rFonts w:hint="eastAsia" w:ascii="Arial" w:hAnsi="Arial" w:cs="Arial" w:eastAsiaTheme="minorEastAsia"/>
          <w:b/>
          <w:color w:val="000000"/>
          <w:kern w:val="2"/>
          <w:sz w:val="32"/>
          <w:szCs w:val="32"/>
          <w:highlight w:val="none"/>
          <w:lang w:val="en-US" w:eastAsia="zh-CN" w:bidi="ar-SA"/>
        </w:rPr>
        <w:t>JSZC-320904-ZBJC-G2025-0007</w:t>
      </w:r>
    </w:p>
    <w:p w14:paraId="32B0AA1A">
      <w:pPr>
        <w:pStyle w:val="12"/>
        <w:spacing w:beforeAutospacing="0" w:afterAutospacing="0" w:line="360" w:lineRule="auto"/>
        <w:rPr>
          <w:highlight w:val="none"/>
        </w:rPr>
      </w:pPr>
      <w:r>
        <w:rPr>
          <w:highlight w:val="none"/>
        </w:rPr>
        <w:t> </w:t>
      </w:r>
    </w:p>
    <w:p w14:paraId="39862FA4">
      <w:pPr>
        <w:pStyle w:val="12"/>
        <w:spacing w:beforeAutospacing="0" w:afterAutospacing="0" w:line="360" w:lineRule="auto"/>
        <w:rPr>
          <w:highlight w:val="none"/>
        </w:rPr>
      </w:pPr>
      <w:r>
        <w:rPr>
          <w:highlight w:val="none"/>
        </w:rPr>
        <w:t> </w:t>
      </w:r>
    </w:p>
    <w:p w14:paraId="51A784F0">
      <w:pPr>
        <w:pStyle w:val="12"/>
        <w:spacing w:beforeAutospacing="0" w:afterAutospacing="0" w:line="360" w:lineRule="auto"/>
        <w:rPr>
          <w:highlight w:val="none"/>
        </w:rPr>
      </w:pPr>
    </w:p>
    <w:p w14:paraId="57096B4D">
      <w:pPr>
        <w:pStyle w:val="12"/>
        <w:spacing w:beforeAutospacing="0" w:afterAutospacing="0" w:line="360" w:lineRule="auto"/>
        <w:rPr>
          <w:highlight w:val="none"/>
        </w:rPr>
      </w:pPr>
      <w:r>
        <w:rPr>
          <w:highlight w:val="none"/>
        </w:rPr>
        <w:t> </w:t>
      </w:r>
      <w:bookmarkStart w:id="188" w:name="_GoBack"/>
      <w:bookmarkEnd w:id="188"/>
    </w:p>
    <w:p w14:paraId="4D453249">
      <w:pPr>
        <w:pStyle w:val="12"/>
        <w:spacing w:beforeAutospacing="0" w:afterAutospacing="0" w:line="360" w:lineRule="auto"/>
        <w:rPr>
          <w:highlight w:val="none"/>
        </w:rPr>
      </w:pPr>
      <w:r>
        <w:rPr>
          <w:highlight w:val="none"/>
        </w:rPr>
        <w:t> </w:t>
      </w:r>
    </w:p>
    <w:p w14:paraId="220064A6">
      <w:pPr>
        <w:pStyle w:val="12"/>
        <w:spacing w:beforeAutospacing="0" w:afterAutospacing="0" w:line="360" w:lineRule="auto"/>
        <w:rPr>
          <w:highlight w:val="none"/>
        </w:rPr>
      </w:pPr>
      <w:r>
        <w:rPr>
          <w:highlight w:val="none"/>
        </w:rPr>
        <w:t> </w:t>
      </w:r>
    </w:p>
    <w:p w14:paraId="36B170CE">
      <w:pPr>
        <w:pStyle w:val="12"/>
        <w:spacing w:beforeAutospacing="0" w:afterAutospacing="0" w:line="360" w:lineRule="auto"/>
        <w:rPr>
          <w:highlight w:val="none"/>
        </w:rPr>
      </w:pPr>
      <w:r>
        <w:rPr>
          <w:highlight w:val="none"/>
        </w:rPr>
        <w:t> </w:t>
      </w:r>
    </w:p>
    <w:p w14:paraId="10505119">
      <w:pPr>
        <w:pStyle w:val="12"/>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宋体" w:hAnsi="宋体" w:eastAsia="宋体" w:cs="宋体"/>
          <w:b/>
          <w:bCs/>
          <w:sz w:val="36"/>
          <w:szCs w:val="36"/>
          <w:lang w:val="en-US" w:eastAsia="zh-CN"/>
        </w:rPr>
        <w:t>盐城市大丰中医院（盐城市大丰区老年医院）</w:t>
      </w:r>
    </w:p>
    <w:p w14:paraId="3D3A973B">
      <w:pPr>
        <w:spacing w:before="120" w:after="120" w:line="700" w:lineRule="exact"/>
        <w:jc w:val="center"/>
        <w:outlineLvl w:val="0"/>
        <w:rPr>
          <w:rFonts w:hint="default" w:ascii="宋体" w:hAnsi="宋体" w:eastAsia="宋体" w:cs="宋体"/>
          <w:b/>
          <w:bCs/>
          <w:sz w:val="36"/>
          <w:szCs w:val="36"/>
          <w:lang w:val="en-US" w:eastAsia="zh-CN"/>
        </w:rPr>
      </w:pPr>
      <w:r>
        <w:rPr>
          <w:rFonts w:hint="eastAsia" w:ascii="宋体" w:hAnsi="宋体" w:cs="宋体"/>
          <w:b/>
          <w:bCs/>
          <w:sz w:val="36"/>
          <w:szCs w:val="36"/>
        </w:rPr>
        <w:t>采购代理机构：江苏</w:t>
      </w:r>
      <w:r>
        <w:rPr>
          <w:rFonts w:hint="eastAsia" w:ascii="宋体" w:hAnsi="宋体" w:cs="宋体"/>
          <w:b/>
          <w:bCs/>
          <w:sz w:val="36"/>
          <w:szCs w:val="36"/>
          <w:lang w:val="en-US" w:eastAsia="zh-CN"/>
        </w:rPr>
        <w:t>中邦敬诚工程咨询有限公司</w:t>
      </w:r>
    </w:p>
    <w:p w14:paraId="340F81E0">
      <w:pPr>
        <w:spacing w:before="120" w:after="120" w:line="700" w:lineRule="exact"/>
        <w:jc w:val="center"/>
        <w:rPr>
          <w:rFonts w:hint="eastAsia" w:ascii="宋体" w:hAnsi="宋体" w:cs="宋体"/>
          <w:b/>
          <w:bCs/>
          <w:sz w:val="36"/>
          <w:szCs w:val="36"/>
        </w:rPr>
      </w:pPr>
      <w:r>
        <w:rPr>
          <w:rFonts w:hint="eastAsia" w:ascii="宋体" w:hAnsi="宋体" w:cs="宋体"/>
          <w:b/>
          <w:bCs/>
          <w:sz w:val="36"/>
          <w:szCs w:val="36"/>
        </w:rPr>
        <w:t>202</w:t>
      </w:r>
      <w:r>
        <w:rPr>
          <w:rFonts w:hint="eastAsia" w:ascii="宋体" w:hAnsi="宋体" w:cs="宋体"/>
          <w:b/>
          <w:bCs/>
          <w:sz w:val="36"/>
          <w:szCs w:val="36"/>
          <w:lang w:val="en-US" w:eastAsia="zh-CN"/>
        </w:rPr>
        <w:t>5</w:t>
      </w:r>
      <w:r>
        <w:rPr>
          <w:rFonts w:hint="eastAsia" w:ascii="宋体" w:hAnsi="宋体" w:cs="宋体"/>
          <w:b/>
          <w:bCs/>
          <w:sz w:val="36"/>
          <w:szCs w:val="36"/>
        </w:rPr>
        <w:t>年</w:t>
      </w:r>
      <w:r>
        <w:rPr>
          <w:rFonts w:hint="eastAsia" w:ascii="宋体" w:hAnsi="宋体" w:cs="宋体"/>
          <w:b/>
          <w:bCs/>
          <w:sz w:val="36"/>
          <w:szCs w:val="36"/>
          <w:lang w:val="en-US" w:eastAsia="zh-CN"/>
        </w:rPr>
        <w:t>12</w:t>
      </w:r>
      <w:r>
        <w:rPr>
          <w:rFonts w:hint="eastAsia" w:ascii="宋体" w:hAnsi="宋体" w:cs="宋体"/>
          <w:b/>
          <w:bCs/>
          <w:sz w:val="36"/>
          <w:szCs w:val="36"/>
        </w:rPr>
        <w:t>月</w:t>
      </w:r>
    </w:p>
    <w:p w14:paraId="5D143481">
      <w:pPr>
        <w:spacing w:before="120" w:after="120" w:line="700" w:lineRule="exact"/>
        <w:jc w:val="center"/>
        <w:rPr>
          <w:rFonts w:hint="eastAsia" w:ascii="宋体" w:hAnsi="宋体" w:cs="宋体"/>
          <w:b/>
          <w:bCs/>
          <w:sz w:val="36"/>
          <w:szCs w:val="36"/>
        </w:rPr>
      </w:pPr>
    </w:p>
    <w:p w14:paraId="178A73DE">
      <w:pPr>
        <w:pStyle w:val="12"/>
        <w:spacing w:beforeAutospacing="0" w:afterAutospacing="0" w:line="480" w:lineRule="auto"/>
        <w:jc w:val="center"/>
        <w:rPr>
          <w:rFonts w:ascii="Times New Roman" w:hAnsi="Times New Roman"/>
          <w:color w:val="000000"/>
          <w:sz w:val="21"/>
          <w:szCs w:val="21"/>
          <w:highlight w:val="none"/>
        </w:rPr>
      </w:pPr>
    </w:p>
    <w:p w14:paraId="41085BAD">
      <w:pPr>
        <w:tabs>
          <w:tab w:val="left" w:pos="5049"/>
        </w:tabs>
        <w:bidi w:val="0"/>
        <w:jc w:val="left"/>
        <w:rPr>
          <w:rFonts w:hint="eastAsia" w:ascii="黑体" w:hAnsi="宋体" w:eastAsia="黑体" w:cs="黑体"/>
          <w:color w:val="000000"/>
          <w:sz w:val="36"/>
          <w:szCs w:val="36"/>
          <w:highlight w:val="none"/>
        </w:rPr>
      </w:pPr>
      <w:bookmarkStart w:id="0" w:name="_Toc28359086"/>
    </w:p>
    <w:p w14:paraId="746F8DFD">
      <w:pPr>
        <w:pStyle w:val="12"/>
        <w:keepNext/>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179DC6FF">
      <w:pPr>
        <w:pStyle w:val="12"/>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6B0F6ADA">
      <w:pPr>
        <w:pStyle w:val="12"/>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val="en-US" w:eastAsia="zh-CN"/>
        </w:rPr>
        <w:t>盐城市大丰中医院消毒供应中心设备购置项目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01</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16</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05033C3B">
      <w:pPr>
        <w:pStyle w:val="12"/>
        <w:keepNext/>
        <w:keepLines/>
        <w:pageBreakBefore w:val="0"/>
        <w:kinsoku/>
        <w:wordWrap/>
        <w:overflowPunct/>
        <w:topLinePunct w:val="0"/>
        <w:autoSpaceDE/>
        <w:autoSpaceDN/>
        <w:bidi w:val="0"/>
        <w:adjustRightInd w:val="0"/>
        <w:snapToGrid w:val="0"/>
        <w:spacing w:before="145" w:beforeAutospacing="0" w:after="145" w:afterAutospacing="0" w:line="360" w:lineRule="auto"/>
        <w:ind w:firstLine="498"/>
        <w:jc w:val="both"/>
        <w:textAlignment w:val="auto"/>
        <w:rPr>
          <w:rFonts w:hint="eastAsia" w:ascii="宋体" w:hAnsi="宋体" w:eastAsia="宋体" w:cs="宋体"/>
          <w:sz w:val="24"/>
          <w:szCs w:val="24"/>
          <w:highlight w:val="none"/>
        </w:rPr>
      </w:pPr>
      <w:bookmarkStart w:id="1" w:name="_Toc38985263"/>
      <w:bookmarkStart w:id="2" w:name="_Hlk24379207"/>
      <w:bookmarkStart w:id="3" w:name="_Toc28359079"/>
      <w:bookmarkStart w:id="4" w:name="_Toc35393621"/>
      <w:bookmarkStart w:id="5" w:name="_Toc28359002"/>
      <w:bookmarkStart w:id="6" w:name="_Toc35393790"/>
      <w:r>
        <w:rPr>
          <w:rFonts w:hint="eastAsia" w:ascii="宋体" w:hAnsi="宋体" w:eastAsia="宋体" w:cs="宋体"/>
          <w:b/>
          <w:color w:val="000000"/>
          <w:sz w:val="24"/>
          <w:szCs w:val="24"/>
          <w:highlight w:val="none"/>
        </w:rPr>
        <w:t>一、项目基本情况</w:t>
      </w:r>
      <w:bookmarkEnd w:id="1"/>
      <w:bookmarkEnd w:id="2"/>
      <w:bookmarkEnd w:id="3"/>
      <w:bookmarkEnd w:id="4"/>
      <w:bookmarkEnd w:id="5"/>
      <w:bookmarkEnd w:id="6"/>
    </w:p>
    <w:p w14:paraId="58CA06E8">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1.项目编号：JSZC-320904-ZBJC-G2025-0007</w:t>
      </w:r>
    </w:p>
    <w:p w14:paraId="4B58244C">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2.项</w:t>
      </w:r>
      <w:r>
        <w:rPr>
          <w:rFonts w:hint="eastAsia" w:ascii="宋体" w:hAnsi="宋体" w:eastAsia="宋体" w:cs="宋体"/>
          <w:color w:val="000000"/>
          <w:sz w:val="24"/>
          <w:szCs w:val="24"/>
          <w:highlight w:val="none"/>
          <w:shd w:val="clear" w:color="auto" w:fill="auto"/>
        </w:rPr>
        <w:t>目名称：</w:t>
      </w:r>
      <w:r>
        <w:rPr>
          <w:rFonts w:hint="eastAsia" w:ascii="宋体" w:hAnsi="宋体" w:eastAsia="宋体" w:cs="宋体"/>
          <w:i w:val="0"/>
          <w:iCs w:val="0"/>
          <w:caps w:val="0"/>
          <w:color w:val="333333"/>
          <w:spacing w:val="0"/>
          <w:sz w:val="24"/>
          <w:szCs w:val="24"/>
          <w:highlight w:val="none"/>
          <w:shd w:val="clear" w:fill="FFFFFF"/>
          <w:lang w:val="en-US" w:eastAsia="zh-CN"/>
        </w:rPr>
        <w:t>盐城市大丰中医院消毒供应中心设备购置项目</w:t>
      </w:r>
    </w:p>
    <w:p w14:paraId="73A52534">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0F7F4FB1">
      <w:pPr>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i w:val="0"/>
          <w:iCs w:val="0"/>
          <w:caps w:val="0"/>
          <w:color w:val="333333"/>
          <w:spacing w:val="0"/>
          <w:kern w:val="0"/>
          <w:sz w:val="24"/>
          <w:szCs w:val="24"/>
          <w:highlight w:val="none"/>
          <w:shd w:val="clear" w:fill="FFFFFF"/>
          <w:lang w:val="en-US" w:eastAsia="zh-CN" w:bidi="ar-SA"/>
        </w:rPr>
        <w:t>62.00万元。</w:t>
      </w:r>
    </w:p>
    <w:p w14:paraId="7C279CB3">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fill="FFFFFF"/>
          <w:lang w:val="en-US" w:eastAsia="zh-CN"/>
        </w:rPr>
        <w:t>5.</w:t>
      </w:r>
      <w:r>
        <w:rPr>
          <w:rFonts w:hint="eastAsia" w:ascii="宋体" w:hAnsi="宋体" w:eastAsia="宋体" w:cs="宋体"/>
          <w:i w:val="0"/>
          <w:iCs w:val="0"/>
          <w:caps w:val="0"/>
          <w:color w:val="333333"/>
          <w:spacing w:val="0"/>
          <w:sz w:val="24"/>
          <w:szCs w:val="24"/>
          <w:highlight w:val="none"/>
          <w:shd w:val="clear" w:fill="FFFFFF"/>
        </w:rPr>
        <w:t>最高限价：</w:t>
      </w:r>
      <w:r>
        <w:rPr>
          <w:rFonts w:hint="eastAsia" w:ascii="宋体" w:hAnsi="宋体" w:eastAsia="宋体" w:cs="宋体"/>
          <w:color w:val="000000"/>
          <w:kern w:val="2"/>
          <w:sz w:val="24"/>
          <w:szCs w:val="24"/>
          <w:highlight w:val="none"/>
          <w:lang w:val="en-US" w:eastAsia="zh-CN" w:bidi="ar-SA"/>
        </w:rPr>
        <w:t>56</w:t>
      </w:r>
      <w:r>
        <w:rPr>
          <w:rFonts w:hint="eastAsia" w:ascii="宋体" w:hAnsi="宋体" w:eastAsia="宋体" w:cs="宋体"/>
          <w:i w:val="0"/>
          <w:iCs w:val="0"/>
          <w:caps w:val="0"/>
          <w:color w:val="333333"/>
          <w:spacing w:val="0"/>
          <w:kern w:val="0"/>
          <w:sz w:val="24"/>
          <w:szCs w:val="24"/>
          <w:highlight w:val="none"/>
          <w:shd w:val="clear" w:fill="FFFFFF"/>
          <w:lang w:val="en-US" w:eastAsia="zh-CN" w:bidi="ar-SA"/>
        </w:rPr>
        <w:t>.00</w:t>
      </w:r>
      <w:r>
        <w:rPr>
          <w:rFonts w:hint="eastAsia" w:ascii="宋体" w:hAnsi="宋体" w:eastAsia="宋体" w:cs="宋体"/>
          <w:color w:val="000000"/>
          <w:kern w:val="2"/>
          <w:sz w:val="24"/>
          <w:szCs w:val="24"/>
          <w:highlight w:val="none"/>
          <w:lang w:val="en-US" w:eastAsia="zh-CN" w:bidi="ar-SA"/>
        </w:rPr>
        <w:t>万元（其中</w:t>
      </w:r>
      <w:r>
        <w:rPr>
          <w:rFonts w:hint="eastAsia" w:ascii="宋体" w:hAnsi="宋体" w:eastAsia="宋体" w:cs="宋体"/>
          <w:kern w:val="0"/>
          <w:sz w:val="24"/>
          <w:szCs w:val="24"/>
          <w:highlight w:val="none"/>
          <w:lang w:val="en-US" w:eastAsia="zh-CN"/>
        </w:rPr>
        <w:t>脉动真空灭菌器31.50万元/台，减压沸腾清洗机24.50万元/台</w:t>
      </w:r>
      <w:r>
        <w:rPr>
          <w:rFonts w:hint="eastAsia" w:ascii="宋体" w:hAnsi="宋体" w:eastAsia="宋体" w:cs="宋体"/>
          <w:color w:val="000000"/>
          <w:kern w:val="2"/>
          <w:sz w:val="24"/>
          <w:szCs w:val="24"/>
          <w:highlight w:val="none"/>
          <w:lang w:val="en-US" w:eastAsia="zh-CN" w:bidi="ar-SA"/>
        </w:rPr>
        <w:t>）。</w:t>
      </w:r>
    </w:p>
    <w:p w14:paraId="2ABC3731">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.采购需求：</w:t>
      </w:r>
    </w:p>
    <w:tbl>
      <w:tblPr>
        <w:tblStyle w:val="14"/>
        <w:tblW w:w="8455" w:type="dxa"/>
        <w:tblInd w:w="4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0"/>
        <w:gridCol w:w="3261"/>
        <w:gridCol w:w="995"/>
        <w:gridCol w:w="3429"/>
      </w:tblGrid>
      <w:tr w14:paraId="2CA52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4EF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序号</w:t>
            </w:r>
          </w:p>
        </w:tc>
        <w:tc>
          <w:tcPr>
            <w:tcW w:w="3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C789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设备名称</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47DC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数量</w:t>
            </w:r>
          </w:p>
        </w:tc>
        <w:tc>
          <w:tcPr>
            <w:tcW w:w="3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3ECF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备注</w:t>
            </w:r>
          </w:p>
        </w:tc>
      </w:tr>
      <w:tr w14:paraId="33ED7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40A7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3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A134">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highlight w:val="none"/>
                <w:lang w:val="en-US" w:eastAsia="zh-CN"/>
              </w:rPr>
              <w:t>脉动真空灭菌器</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FEB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highlight w:val="none"/>
                <w:lang w:val="en-US" w:eastAsia="zh-CN"/>
              </w:rPr>
              <w:t>1台</w:t>
            </w:r>
          </w:p>
        </w:tc>
        <w:tc>
          <w:tcPr>
            <w:tcW w:w="3429"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FC6FC">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详细内容见本招标文件第四章</w:t>
            </w:r>
          </w:p>
        </w:tc>
      </w:tr>
      <w:tr w14:paraId="7921D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9F0C">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3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A4FAC">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highlight w:val="none"/>
                <w:lang w:val="en-US" w:eastAsia="zh-CN"/>
              </w:rPr>
              <w:t>减压沸腾清洗机</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8CA3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highlight w:val="none"/>
                <w:lang w:val="en-US" w:eastAsia="zh-CN"/>
              </w:rPr>
              <w:t>1台</w:t>
            </w:r>
          </w:p>
        </w:tc>
        <w:tc>
          <w:tcPr>
            <w:tcW w:w="34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783637">
            <w:pPr>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i w:val="0"/>
                <w:iCs w:val="0"/>
                <w:color w:val="000000"/>
                <w:sz w:val="24"/>
                <w:szCs w:val="24"/>
                <w:u w:val="none"/>
              </w:rPr>
            </w:pPr>
          </w:p>
        </w:tc>
      </w:tr>
    </w:tbl>
    <w:p w14:paraId="26A20146">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签订合同后30日历天内完成所需设备的采购、供应、运输、安装、调试等相关伴随服务，并通过采购人的验收。</w:t>
      </w:r>
    </w:p>
    <w:p w14:paraId="7025A5E0">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bookmarkStart w:id="7" w:name="OLE_LINK8"/>
      <w:r>
        <w:rPr>
          <w:rFonts w:hint="eastAsia" w:ascii="宋体" w:hAnsi="宋体" w:eastAsia="宋体" w:cs="宋体"/>
          <w:color w:val="000000"/>
          <w:sz w:val="24"/>
          <w:szCs w:val="24"/>
          <w:highlight w:val="none"/>
        </w:rPr>
        <w:t>本项目不接受联合体投标</w:t>
      </w:r>
      <w:bookmarkEnd w:id="7"/>
      <w:r>
        <w:rPr>
          <w:rFonts w:hint="eastAsia" w:ascii="宋体" w:hAnsi="宋体" w:eastAsia="宋体" w:cs="宋体"/>
          <w:color w:val="000000"/>
          <w:sz w:val="24"/>
          <w:szCs w:val="24"/>
          <w:highlight w:val="none"/>
          <w:lang w:eastAsia="zh-CN"/>
        </w:rPr>
        <w:t>。</w:t>
      </w:r>
    </w:p>
    <w:p w14:paraId="12CB8E2C">
      <w:pPr>
        <w:pStyle w:val="12"/>
        <w:keepNext/>
        <w:keepLines/>
        <w:pageBreakBefore w:val="0"/>
        <w:kinsoku/>
        <w:wordWrap/>
        <w:overflowPunct/>
        <w:topLinePunct w:val="0"/>
        <w:autoSpaceDE/>
        <w:autoSpaceDN/>
        <w:bidi w:val="0"/>
        <w:adjustRightInd w:val="0"/>
        <w:snapToGrid w:val="0"/>
        <w:spacing w:before="145" w:beforeAutospacing="0" w:after="145" w:afterAutospacing="0" w:line="360" w:lineRule="auto"/>
        <w:ind w:firstLine="498"/>
        <w:jc w:val="both"/>
        <w:textAlignment w:val="auto"/>
        <w:rPr>
          <w:rFonts w:hint="eastAsia" w:ascii="宋体" w:hAnsi="宋体" w:eastAsia="宋体" w:cs="宋体"/>
          <w:sz w:val="24"/>
          <w:szCs w:val="24"/>
          <w:highlight w:val="none"/>
        </w:rPr>
      </w:pPr>
      <w:bookmarkStart w:id="8" w:name="_Toc35393791"/>
      <w:bookmarkStart w:id="9" w:name="_Toc28359080"/>
      <w:bookmarkStart w:id="10" w:name="_Toc28359003"/>
      <w:bookmarkStart w:id="11" w:name="_Toc38985264"/>
      <w:bookmarkStart w:id="12" w:name="_Toc35393622"/>
      <w:r>
        <w:rPr>
          <w:rFonts w:hint="eastAsia" w:ascii="宋体" w:hAnsi="宋体" w:eastAsia="宋体" w:cs="宋体"/>
          <w:b/>
          <w:color w:val="000000"/>
          <w:sz w:val="24"/>
          <w:szCs w:val="24"/>
          <w:highlight w:val="none"/>
        </w:rPr>
        <w:t>二、申请人的资格要求：</w:t>
      </w:r>
      <w:bookmarkEnd w:id="8"/>
      <w:bookmarkEnd w:id="9"/>
      <w:bookmarkEnd w:id="10"/>
      <w:bookmarkEnd w:id="11"/>
      <w:bookmarkEnd w:id="12"/>
    </w:p>
    <w:p w14:paraId="59C84FF1">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43076593">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44CA941E">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1.2上一年度的财务状况报表（成立不满一年无需提供）；</w:t>
      </w:r>
    </w:p>
    <w:p w14:paraId="27407C78">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17BD4C33">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43C342D9">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5BFD7531">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1.8单位负责人为同一人或者存在直接控股、管理关系的不同供应商，不得参加同一合同项下的政府采购活动。</w:t>
      </w:r>
    </w:p>
    <w:p w14:paraId="1B5697A9">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落实政府采购政策需满足的资格要求：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7F7302D1">
      <w:pPr>
        <w:pStyle w:val="12"/>
        <w:pageBreakBefore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color w:val="000000"/>
          <w:sz w:val="24"/>
          <w:szCs w:val="24"/>
          <w:highlight w:val="none"/>
          <w:lang w:val="en-US" w:eastAsia="zh-CN"/>
        </w:rPr>
        <w:t>3.本项目的特定资格要求：</w:t>
      </w:r>
      <w:r>
        <w:rPr>
          <w:rFonts w:hint="eastAsia" w:ascii="宋体" w:hAnsi="宋体" w:eastAsia="宋体" w:cs="宋体"/>
          <w:b/>
          <w:bCs/>
          <w:color w:val="000000"/>
          <w:sz w:val="24"/>
          <w:szCs w:val="24"/>
          <w:highlight w:val="none"/>
          <w:lang w:val="en-US" w:eastAsia="zh-CN"/>
        </w:rPr>
        <w:t>（1）投标人为医疗器械代理商（经销商）的，须根据投标产品的类别，提供投标人的《医疗器械经营许可证》或者《医疗器械经营备案凭证》；（2）投标人为医疗器械生产企业的，须提供《医疗器械生产许可证》</w:t>
      </w:r>
      <w:r>
        <w:rPr>
          <w:rFonts w:hint="eastAsia" w:ascii="宋体" w:hAnsi="宋体" w:eastAsia="宋体" w:cs="宋体"/>
          <w:color w:val="000000"/>
          <w:sz w:val="24"/>
          <w:szCs w:val="24"/>
          <w:highlight w:val="none"/>
          <w:lang w:val="en-US" w:eastAsia="zh-CN"/>
        </w:rPr>
        <w:t>。</w:t>
      </w:r>
    </w:p>
    <w:p w14:paraId="32F0CB21">
      <w:pPr>
        <w:pStyle w:val="12"/>
        <w:keepNext/>
        <w:keepLines/>
        <w:pageBreakBefore w:val="0"/>
        <w:kinsoku/>
        <w:wordWrap/>
        <w:overflowPunct/>
        <w:topLinePunct w:val="0"/>
        <w:autoSpaceDE/>
        <w:autoSpaceDN/>
        <w:bidi w:val="0"/>
        <w:adjustRightInd w:val="0"/>
        <w:snapToGrid w:val="0"/>
        <w:spacing w:before="145" w:beforeAutospacing="0" w:after="145" w:afterAutospacing="0" w:line="360" w:lineRule="auto"/>
        <w:ind w:firstLine="498"/>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三、获取招标文件</w:t>
      </w:r>
    </w:p>
    <w:p w14:paraId="1CD06B1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right="0" w:firstLine="480" w:firstLineChars="200"/>
        <w:jc w:val="both"/>
        <w:textAlignment w:val="auto"/>
        <w:rPr>
          <w:rFonts w:hint="eastAsia" w:ascii="宋体" w:hAnsi="宋体" w:eastAsia="宋体" w:cs="宋体"/>
          <w:color w:val="000000"/>
          <w:sz w:val="24"/>
          <w:szCs w:val="24"/>
          <w:highlight w:val="none"/>
          <w:shd w:val="clear" w:color="auto" w:fill="auto"/>
        </w:rPr>
      </w:pPr>
      <w:bookmarkStart w:id="13" w:name="_Toc28359005"/>
      <w:bookmarkStart w:id="14" w:name="_Toc35393793"/>
      <w:bookmarkStart w:id="15" w:name="_Toc38985266"/>
      <w:bookmarkStart w:id="16" w:name="_Toc28359082"/>
      <w:bookmarkStart w:id="17" w:name="_Toc35393624"/>
      <w:r>
        <w:rPr>
          <w:rFonts w:hint="eastAsia" w:ascii="宋体" w:hAnsi="宋体" w:eastAsia="宋体" w:cs="宋体"/>
          <w:color w:val="000000"/>
          <w:sz w:val="24"/>
          <w:szCs w:val="24"/>
          <w:highlight w:val="none"/>
          <w:shd w:val="clear" w:color="auto" w:fill="auto"/>
        </w:rPr>
        <w:t>1.时间：</w:t>
      </w:r>
      <w:bookmarkEnd w:id="13"/>
      <w:bookmarkEnd w:id="14"/>
      <w:bookmarkEnd w:id="15"/>
      <w:bookmarkEnd w:id="16"/>
      <w:bookmarkEnd w:id="17"/>
      <w:r>
        <w:rPr>
          <w:rFonts w:hint="eastAsia" w:ascii="宋体" w:hAnsi="宋体" w:eastAsia="宋体" w:cs="宋体"/>
          <w:color w:val="000000"/>
          <w:sz w:val="24"/>
          <w:szCs w:val="24"/>
          <w:highlight w:val="none"/>
          <w:shd w:val="clear" w:color="auto" w:fill="auto"/>
        </w:rPr>
        <w:t>自招标文件公告发布之日起5个工作日 。</w:t>
      </w:r>
    </w:p>
    <w:p w14:paraId="3FE7E4A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2.地点：“苏采云”系统内免费下载（投标人必须在苏采云系统中获取采购文件，方能参与政府采购项目）；</w:t>
      </w:r>
    </w:p>
    <w:p w14:paraId="1CD7F0E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right="0"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rPr>
          <w:rFonts w:hint="eastAsia" w:ascii="宋体" w:hAnsi="宋体" w:eastAsia="宋体" w:cs="宋体"/>
          <w:color w:val="000000"/>
          <w:sz w:val="24"/>
          <w:szCs w:val="24"/>
          <w:highlight w:val="none"/>
          <w:shd w:val="clear" w:color="auto" w:fill="auto"/>
        </w:rPr>
        <w:t>“苏采云”系统（网址：http://jszfcg.jsczt.cn/）</w:t>
      </w:r>
    </w:p>
    <w:p w14:paraId="08530F1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3.1 潜在供应商访问电子招标响应交易平台的网络地址和方法：</w:t>
      </w:r>
    </w:p>
    <w:p w14:paraId="6F1BDF0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01304B1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3.2 潜在投标人访问“苏采云”系统方法：江苏省政府采购网首页-“苏采云”链接。</w:t>
      </w:r>
    </w:p>
    <w:p w14:paraId="2DA4256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3.3“CA数字证书”的获取：</w:t>
      </w:r>
    </w:p>
    <w:p w14:paraId="162C9D3A">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供应商需办理CA锁，“苏采云”系统目前仅支持政务CA，省内各地区办理的用于“苏采云”平台的政务CA全省通用。盐城地区政务CA办理请至亭湖区政务服务中心二楼226窗口办理，联系电话：15051556883。</w:t>
      </w:r>
    </w:p>
    <w:p w14:paraId="21A5437B">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3.4 采购文件（后缀名为“.kedt”）、供应商操作手册及政府采购客户端工具可通过“苏采云”系统相应链接进行下载。</w:t>
      </w:r>
    </w:p>
    <w:p w14:paraId="594B3B6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3.5 招标代理机构（采购代理机构）将数据电文形式的采购文件加载至“苏采云”系统，供潜在供应商下载或者查阅。</w:t>
      </w:r>
    </w:p>
    <w:p w14:paraId="254986C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3.6 请潜在投标单位提前安装相应的控件（详见《“苏采云”系统供应商操 作手册》）并使用谷歌浏览器登录“苏采云”系统参与不见面开评标。</w:t>
      </w:r>
    </w:p>
    <w:p w14:paraId="016CFC3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如潜在投标人未按上述要求操作，将自行承担所产生的风险。</w:t>
      </w:r>
    </w:p>
    <w:p w14:paraId="2707C1A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4.文件售价：0元</w:t>
      </w:r>
    </w:p>
    <w:p w14:paraId="5C0B4A98">
      <w:pPr>
        <w:pStyle w:val="12"/>
        <w:keepNext/>
        <w:keepLines/>
        <w:pageBreakBefore w:val="0"/>
        <w:kinsoku/>
        <w:wordWrap/>
        <w:overflowPunct/>
        <w:topLinePunct w:val="0"/>
        <w:autoSpaceDE/>
        <w:autoSpaceDN/>
        <w:bidi w:val="0"/>
        <w:adjustRightInd w:val="0"/>
        <w:snapToGrid w:val="0"/>
        <w:spacing w:before="145" w:beforeAutospacing="0" w:after="145" w:afterAutospacing="0" w:line="360" w:lineRule="auto"/>
        <w:ind w:firstLine="498"/>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四、提交投标文件截止时间、开标时间和地点</w:t>
      </w:r>
    </w:p>
    <w:p w14:paraId="11262A0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bookmarkStart w:id="18" w:name="_Toc28359084"/>
      <w:bookmarkStart w:id="19" w:name="_Toc28359007"/>
      <w:bookmarkStart w:id="20" w:name="_Toc38985267"/>
      <w:bookmarkStart w:id="21" w:name="_Toc35393794"/>
      <w:bookmarkStart w:id="22" w:name="_Toc35393625"/>
      <w:r>
        <w:rPr>
          <w:rFonts w:hint="eastAsia" w:ascii="宋体" w:hAnsi="宋体" w:eastAsia="宋体" w:cs="宋体"/>
          <w:color w:val="000000"/>
          <w:kern w:val="0"/>
          <w:sz w:val="24"/>
          <w:szCs w:val="24"/>
          <w:highlight w:val="none"/>
          <w:shd w:val="clear" w:color="auto" w:fill="auto"/>
          <w:lang w:val="en-US" w:eastAsia="zh-CN" w:bidi="ar-SA"/>
        </w:rPr>
        <w:t>1.线上提交投标文件截止时间：</w:t>
      </w:r>
      <w:r>
        <w:rPr>
          <w:rFonts w:hint="eastAsia" w:ascii="宋体" w:hAnsi="宋体" w:eastAsia="宋体" w:cs="宋体"/>
          <w:color w:val="000000"/>
          <w:kern w:val="0"/>
          <w:sz w:val="24"/>
          <w:szCs w:val="24"/>
          <w:highlight w:val="none"/>
          <w:u w:val="single"/>
          <w:shd w:val="clear" w:color="auto" w:fill="auto"/>
          <w:lang w:val="en-US" w:eastAsia="zh-CN" w:bidi="ar-SA"/>
        </w:rPr>
        <w:t>2026年01月16日09:00（北京时间）</w:t>
      </w:r>
    </w:p>
    <w:p w14:paraId="1FEC7BF8">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2.线上开标时间：</w:t>
      </w:r>
      <w:r>
        <w:rPr>
          <w:rFonts w:hint="eastAsia" w:ascii="宋体" w:hAnsi="宋体" w:eastAsia="宋体" w:cs="宋体"/>
          <w:color w:val="000000"/>
          <w:kern w:val="0"/>
          <w:sz w:val="24"/>
          <w:szCs w:val="24"/>
          <w:highlight w:val="none"/>
          <w:u w:val="single"/>
          <w:shd w:val="clear" w:color="auto" w:fill="auto"/>
          <w:lang w:val="en-US" w:eastAsia="zh-CN" w:bidi="ar-SA"/>
        </w:rPr>
        <w:t>2026年01月16日09时00分。</w:t>
      </w:r>
    </w:p>
    <w:p w14:paraId="04AFC69C">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default"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3.线上开标地点：“苏采云”系统中的“开标大厅”。</w:t>
      </w:r>
    </w:p>
    <w:p w14:paraId="4B81A46E">
      <w:pPr>
        <w:pStyle w:val="12"/>
        <w:keepNext/>
        <w:keepLines/>
        <w:pageBreakBefore w:val="0"/>
        <w:kinsoku/>
        <w:wordWrap/>
        <w:overflowPunct/>
        <w:topLinePunct w:val="0"/>
        <w:autoSpaceDE/>
        <w:autoSpaceDN/>
        <w:bidi w:val="0"/>
        <w:adjustRightInd w:val="0"/>
        <w:snapToGrid w:val="0"/>
        <w:spacing w:before="145" w:beforeAutospacing="0" w:after="145" w:afterAutospacing="0" w:line="360" w:lineRule="auto"/>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五、公告期限</w:t>
      </w:r>
      <w:bookmarkEnd w:id="18"/>
      <w:bookmarkEnd w:id="19"/>
      <w:bookmarkEnd w:id="20"/>
      <w:bookmarkEnd w:id="21"/>
      <w:bookmarkEnd w:id="22"/>
    </w:p>
    <w:p w14:paraId="7C612B2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3" w:name="_Toc35393626"/>
      <w:bookmarkStart w:id="24" w:name="_Toc38985268"/>
      <w:bookmarkStart w:id="25" w:name="_Toc35393795"/>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3"/>
      <w:bookmarkEnd w:id="24"/>
      <w:bookmarkEnd w:id="25"/>
    </w:p>
    <w:p w14:paraId="7A54455B">
      <w:pPr>
        <w:pStyle w:val="12"/>
        <w:keepNext/>
        <w:keepLines/>
        <w:pageBreakBefore w:val="0"/>
        <w:kinsoku/>
        <w:wordWrap/>
        <w:overflowPunct/>
        <w:topLinePunct w:val="0"/>
        <w:autoSpaceDE/>
        <w:autoSpaceDN/>
        <w:bidi w:val="0"/>
        <w:adjustRightInd w:val="0"/>
        <w:snapToGrid w:val="0"/>
        <w:spacing w:before="145" w:beforeAutospacing="0" w:after="145" w:afterAutospacing="0" w:line="360" w:lineRule="auto"/>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31ADBD7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bookmarkStart w:id="26" w:name="_Toc28359018"/>
      <w:r>
        <w:rPr>
          <w:rFonts w:hint="eastAsia" w:ascii="宋体" w:hAnsi="宋体" w:eastAsia="宋体" w:cs="宋体"/>
          <w:color w:val="000000"/>
          <w:kern w:val="0"/>
          <w:sz w:val="24"/>
          <w:szCs w:val="24"/>
          <w:highlight w:val="none"/>
          <w:shd w:val="clear" w:color="auto" w:fill="auto"/>
          <w:lang w:val="en-US" w:eastAsia="zh-CN" w:bidi="ar-SA"/>
        </w:rPr>
        <w:t>1.各投标人在投标截止时间前应当每天都上网查询，以便获取更新的澄清、修改、补充内容。凡涉及到该项目的补充说明和修改，均以中国政府采购网、江苏政府采购网、盐城市政府采购网上的更正或补充通知为准。</w:t>
      </w:r>
    </w:p>
    <w:p w14:paraId="577C024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2.投标人不得提供虚假材料谋取中标成交的或采取不正当手段诋毁、排挤其他供应商。</w:t>
      </w:r>
    </w:p>
    <w:p w14:paraId="17E779F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3.投标人存在串通投标、以他人名义投标、弄虚作假等违法违规行为，或者无正当理由放弃投标、中标资格，造成项目招标失败的，不得参加该项目重新招标的投标。</w:t>
      </w:r>
    </w:p>
    <w:p w14:paraId="745ACB7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4.因供应商的系统环境、操作等原因导致项目参与、开评标过程中出现问题由供应商自行承担负责。</w:t>
      </w:r>
    </w:p>
    <w:p w14:paraId="44A6E4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000000"/>
          <w:kern w:val="0"/>
          <w:sz w:val="24"/>
          <w:szCs w:val="24"/>
          <w:highlight w:val="none"/>
          <w:lang w:val="en-US" w:eastAsia="zh-CN" w:bidi="ar-SA"/>
        </w:rPr>
      </w:pPr>
      <w:r>
        <w:rPr>
          <w:rFonts w:hint="eastAsia" w:ascii="宋体" w:hAnsi="宋体" w:eastAsia="宋体" w:cs="宋体"/>
          <w:b/>
          <w:bCs w:val="0"/>
          <w:color w:val="000000"/>
          <w:kern w:val="0"/>
          <w:sz w:val="24"/>
          <w:szCs w:val="24"/>
          <w:highlight w:val="none"/>
          <w:lang w:val="en-US" w:eastAsia="zh-CN" w:bidi="ar-SA"/>
        </w:rPr>
        <w:t>七、对本次招标提出询问，请按以下方式联系。</w:t>
      </w:r>
      <w:bookmarkEnd w:id="26"/>
    </w:p>
    <w:p w14:paraId="3F38297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0A8837C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名 称：盐城市大丰中医院（盐城市大丰区老年医院） </w:t>
      </w:r>
    </w:p>
    <w:p w14:paraId="0F3C21E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w:t>
      </w:r>
      <w:r>
        <w:rPr>
          <w:rFonts w:hint="eastAsia" w:ascii="宋体" w:hAnsi="宋体" w:eastAsia="宋体" w:cs="宋体"/>
          <w:i w:val="0"/>
          <w:iCs w:val="0"/>
          <w:caps w:val="0"/>
          <w:color w:val="333333"/>
          <w:spacing w:val="0"/>
          <w:sz w:val="24"/>
          <w:szCs w:val="24"/>
          <w:highlight w:val="none"/>
          <w:shd w:val="clear" w:fill="FFFFFF"/>
          <w:lang w:val="zh-CN" w:eastAsia="zh-CN"/>
        </w:rPr>
        <w:t>盐城市大丰区大中街道健康东路43号</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0E897FC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联系人：吴女士               </w:t>
      </w:r>
    </w:p>
    <w:p w14:paraId="22A81F9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r>
        <w:rPr>
          <w:rFonts w:hint="eastAsia" w:ascii="宋体" w:hAnsi="宋体" w:eastAsia="宋体" w:cs="宋体"/>
          <w:i w:val="0"/>
          <w:iCs w:val="0"/>
          <w:caps w:val="0"/>
          <w:color w:val="333333"/>
          <w:spacing w:val="0"/>
          <w:sz w:val="24"/>
          <w:szCs w:val="24"/>
          <w:highlight w:val="none"/>
          <w:shd w:val="clear" w:fill="FFFFFF"/>
          <w:lang w:val="zh-CN" w:eastAsia="zh-CN"/>
        </w:rPr>
        <w:t xml:space="preserve">18905113282 </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4146E5A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3DF7BE2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w:t>
      </w:r>
      <w:r>
        <w:rPr>
          <w:rFonts w:hint="eastAsia" w:ascii="宋体" w:hAnsi="宋体" w:eastAsia="宋体" w:cs="宋体"/>
          <w:color w:val="auto"/>
          <w:kern w:val="2"/>
          <w:sz w:val="24"/>
          <w:szCs w:val="24"/>
          <w:highlight w:val="none"/>
          <w:lang w:val="en-US" w:eastAsia="zh-CN" w:bidi="ar-SA"/>
        </w:rPr>
        <w:t>江苏中邦敬诚工程咨询有限公司</w:t>
      </w:r>
    </w:p>
    <w:p w14:paraId="79E4123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w:t>
      </w:r>
      <w:r>
        <w:rPr>
          <w:rFonts w:hint="eastAsia" w:ascii="宋体" w:hAnsi="宋体" w:eastAsia="宋体" w:cs="宋体"/>
          <w:color w:val="auto"/>
          <w:kern w:val="2"/>
          <w:sz w:val="24"/>
          <w:szCs w:val="24"/>
          <w:highlight w:val="none"/>
          <w:lang w:val="en-US" w:eastAsia="zh-CN" w:bidi="ar-SA"/>
        </w:rPr>
        <w:t>盐城市大丰区金丰路东侧舜景·中央名府6号楼M109连</w:t>
      </w:r>
    </w:p>
    <w:p w14:paraId="0EE6CC1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联系人：</w:t>
      </w:r>
      <w:r>
        <w:rPr>
          <w:rFonts w:hint="eastAsia" w:ascii="宋体" w:hAnsi="宋体" w:eastAsia="宋体" w:cs="宋体"/>
          <w:color w:val="auto"/>
          <w:kern w:val="2"/>
          <w:sz w:val="24"/>
          <w:szCs w:val="24"/>
          <w:highlight w:val="none"/>
          <w:lang w:val="en-US" w:eastAsia="zh-CN" w:bidi="ar-SA"/>
        </w:rPr>
        <w:t>唐慧</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05E06D6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27" w:name="_Toc28359087"/>
      <w:bookmarkStart w:id="28" w:name="_Toc28359010"/>
      <w:r>
        <w:rPr>
          <w:rFonts w:hint="eastAsia" w:ascii="宋体" w:hAnsi="宋体" w:eastAsia="宋体" w:cs="宋体"/>
          <w:color w:val="auto"/>
          <w:kern w:val="2"/>
          <w:sz w:val="24"/>
          <w:szCs w:val="24"/>
          <w:highlight w:val="none"/>
          <w:lang w:val="en-US" w:eastAsia="zh-CN" w:bidi="ar-SA"/>
        </w:rPr>
        <w:t xml:space="preserve">19851500287 </w:t>
      </w:r>
      <w:r>
        <w:rPr>
          <w:rFonts w:hint="eastAsia" w:ascii="宋体" w:hAnsi="宋体" w:eastAsia="宋体" w:cs="宋体"/>
          <w:i w:val="0"/>
          <w:iCs w:val="0"/>
          <w:caps w:val="0"/>
          <w:color w:val="333333"/>
          <w:spacing w:val="0"/>
          <w:sz w:val="24"/>
          <w:szCs w:val="24"/>
          <w:highlight w:val="none"/>
          <w:shd w:val="clear" w:fill="FFFFFF"/>
          <w:lang w:val="en-US" w:eastAsia="zh-CN"/>
        </w:rPr>
        <w:t>       </w:t>
      </w:r>
      <w:bookmarkEnd w:id="27"/>
      <w:bookmarkEnd w:id="28"/>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2ACE43E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9" w:name="_Toc28359021"/>
      <w:r>
        <w:rPr>
          <w:rFonts w:hint="eastAsia" w:ascii="宋体" w:hAnsi="宋体" w:eastAsia="宋体" w:cs="宋体"/>
          <w:i w:val="0"/>
          <w:iCs w:val="0"/>
          <w:caps w:val="0"/>
          <w:color w:val="333333"/>
          <w:spacing w:val="0"/>
          <w:sz w:val="24"/>
          <w:szCs w:val="24"/>
          <w:highlight w:val="none"/>
          <w:shd w:val="clear" w:fill="FFFFFF"/>
          <w:lang w:val="en-US" w:eastAsia="zh-CN"/>
        </w:rPr>
        <w:t>3.</w:t>
      </w:r>
      <w:bookmarkEnd w:id="29"/>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3AA0049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w:t>
      </w:r>
      <w:r>
        <w:rPr>
          <w:rFonts w:hint="eastAsia" w:ascii="宋体" w:hAnsi="宋体" w:eastAsia="宋体" w:cs="宋体"/>
          <w:color w:val="auto"/>
          <w:kern w:val="2"/>
          <w:sz w:val="24"/>
          <w:szCs w:val="24"/>
          <w:highlight w:val="none"/>
          <w:lang w:val="en-US" w:eastAsia="zh-CN" w:bidi="ar-SA"/>
        </w:rPr>
        <w:t>唐慧</w:t>
      </w:r>
    </w:p>
    <w:p w14:paraId="11CEABD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w:t>
      </w:r>
      <w:r>
        <w:rPr>
          <w:rFonts w:hint="eastAsia" w:ascii="宋体" w:hAnsi="宋体" w:eastAsia="宋体" w:cs="宋体"/>
          <w:color w:val="auto"/>
          <w:kern w:val="2"/>
          <w:sz w:val="24"/>
          <w:szCs w:val="24"/>
          <w:highlight w:val="none"/>
          <w:lang w:val="en-US" w:eastAsia="zh-CN" w:bidi="ar-SA"/>
        </w:rPr>
        <w:t xml:space="preserve">19851500287 </w:t>
      </w:r>
      <w:r>
        <w:rPr>
          <w:rFonts w:hint="eastAsia" w:ascii="宋体" w:hAnsi="宋体" w:eastAsia="宋体" w:cs="宋体"/>
          <w:i w:val="0"/>
          <w:iCs w:val="0"/>
          <w:caps w:val="0"/>
          <w:color w:val="333333"/>
          <w:spacing w:val="0"/>
          <w:sz w:val="24"/>
          <w:szCs w:val="24"/>
          <w:highlight w:val="none"/>
          <w:shd w:val="clear" w:fill="FFFFFF"/>
          <w:lang w:val="en-US" w:eastAsia="zh-CN"/>
        </w:rPr>
        <w:t>　　　　　　　　　　　　</w:t>
      </w:r>
    </w:p>
    <w:p w14:paraId="3067DD5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9AC74DB">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r>
      <w:bookmarkStart w:id="30" w:name="_Toc120614211"/>
    </w:p>
    <w:p w14:paraId="61EAED5C">
      <w:pPr>
        <w:pStyle w:val="12"/>
        <w:keepNext/>
        <w:keepLines/>
        <w:spacing w:before="260" w:beforeAutospacing="0" w:after="260" w:afterAutospacing="0" w:line="240" w:lineRule="auto"/>
        <w:ind w:firstLine="2429"/>
        <w:jc w:val="both"/>
        <w:rPr>
          <w:highlight w:val="none"/>
        </w:rPr>
      </w:pPr>
      <w:r>
        <w:rPr>
          <w:rFonts w:hint="eastAsia" w:ascii="黑体" w:hAnsi="宋体" w:eastAsia="黑体" w:cs="黑体"/>
          <w:b/>
          <w:color w:val="000000"/>
          <w:sz w:val="44"/>
          <w:szCs w:val="44"/>
          <w:highlight w:val="none"/>
        </w:rPr>
        <w:t xml:space="preserve">第二章  </w:t>
      </w:r>
      <w:bookmarkEnd w:id="30"/>
      <w:bookmarkStart w:id="31" w:name="_Toc16938518"/>
      <w:bookmarkStart w:id="32" w:name="_Toc20823274"/>
      <w:bookmarkStart w:id="33" w:name="_Toc513029202"/>
      <w:bookmarkStart w:id="34" w:name="_Toc120614213"/>
      <w:r>
        <w:rPr>
          <w:rFonts w:hint="eastAsia" w:ascii="黑体" w:hAnsi="宋体" w:eastAsia="黑体" w:cs="黑体"/>
          <w:b/>
          <w:color w:val="000000"/>
          <w:sz w:val="44"/>
          <w:szCs w:val="44"/>
          <w:highlight w:val="none"/>
        </w:rPr>
        <w:t>投标人须知</w:t>
      </w:r>
      <w:bookmarkEnd w:id="31"/>
      <w:bookmarkEnd w:id="32"/>
      <w:bookmarkEnd w:id="33"/>
      <w:bookmarkEnd w:id="34"/>
    </w:p>
    <w:p w14:paraId="62BC1E70">
      <w:pPr>
        <w:pStyle w:val="12"/>
        <w:keepNext/>
        <w:keepLines/>
        <w:pageBreakBefore w:val="0"/>
        <w:widowControl w:val="0"/>
        <w:kinsoku/>
        <w:wordWrap/>
        <w:overflowPunct/>
        <w:topLinePunct w:val="0"/>
        <w:autoSpaceDE/>
        <w:autoSpaceDN/>
        <w:bidi w:val="0"/>
        <w:adjustRightInd w:val="0"/>
        <w:snapToGrid w:val="0"/>
        <w:spacing w:before="145" w:beforeAutospacing="0" w:after="145" w:afterAutospacing="0" w:line="360" w:lineRule="auto"/>
        <w:ind w:firstLine="498"/>
        <w:jc w:val="both"/>
        <w:textAlignment w:val="auto"/>
        <w:rPr>
          <w:rFonts w:hint="eastAsia" w:ascii="宋体" w:hAnsi="宋体" w:eastAsia="宋体" w:cs="宋体"/>
          <w:sz w:val="24"/>
          <w:szCs w:val="24"/>
          <w:highlight w:val="none"/>
        </w:rPr>
      </w:pPr>
      <w:bookmarkStart w:id="35" w:name="_Toc16938519"/>
      <w:bookmarkStart w:id="36" w:name="_Toc120614214"/>
      <w:bookmarkStart w:id="37" w:name="_Toc20823275"/>
      <w:bookmarkStart w:id="38" w:name="_Toc513029203"/>
      <w:r>
        <w:rPr>
          <w:rFonts w:hint="eastAsia" w:ascii="宋体" w:hAnsi="宋体" w:eastAsia="宋体" w:cs="宋体"/>
          <w:b/>
          <w:color w:val="000000"/>
          <w:sz w:val="24"/>
          <w:szCs w:val="24"/>
          <w:highlight w:val="none"/>
        </w:rPr>
        <w:t>一、总则</w:t>
      </w:r>
      <w:bookmarkEnd w:id="35"/>
      <w:bookmarkEnd w:id="36"/>
      <w:bookmarkEnd w:id="37"/>
      <w:bookmarkEnd w:id="38"/>
    </w:p>
    <w:p w14:paraId="44FB9187">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bookmarkStart w:id="39" w:name="_Toc20823276"/>
      <w:bookmarkStart w:id="40" w:name="_Toc513029204"/>
      <w:bookmarkStart w:id="41" w:name="_Toc458694821"/>
      <w:bookmarkStart w:id="42" w:name="_Toc16938520"/>
      <w:bookmarkStart w:id="43" w:name="_Hlt16619475"/>
      <w:r>
        <w:rPr>
          <w:rFonts w:hint="eastAsia" w:ascii="宋体" w:hAnsi="宋体" w:eastAsia="宋体" w:cs="宋体"/>
          <w:color w:val="000000"/>
          <w:sz w:val="24"/>
          <w:szCs w:val="24"/>
          <w:highlight w:val="none"/>
        </w:rPr>
        <w:t>1</w:t>
      </w:r>
      <w:bookmarkEnd w:id="39"/>
      <w:r>
        <w:rPr>
          <w:rFonts w:hint="eastAsia" w:ascii="宋体" w:hAnsi="宋体" w:eastAsia="宋体" w:cs="宋体"/>
          <w:color w:val="000000"/>
          <w:sz w:val="24"/>
          <w:szCs w:val="24"/>
          <w:highlight w:val="none"/>
        </w:rPr>
        <w:t>、招标方式</w:t>
      </w:r>
      <w:bookmarkEnd w:id="40"/>
      <w:bookmarkEnd w:id="41"/>
      <w:bookmarkEnd w:id="42"/>
    </w:p>
    <w:p w14:paraId="4D5B8CAB">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本次招标采取公开招标方式，本招标文件仅适用于招标公告中所述项目。</w:t>
      </w:r>
    </w:p>
    <w:p w14:paraId="42700208">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bookmarkStart w:id="44" w:name="_Toc16938521"/>
      <w:bookmarkStart w:id="45" w:name="_Toc20823277"/>
      <w:bookmarkStart w:id="46" w:name="_Toc513029205"/>
      <w:r>
        <w:rPr>
          <w:rFonts w:hint="eastAsia" w:ascii="宋体" w:hAnsi="宋体" w:eastAsia="宋体" w:cs="宋体"/>
          <w:color w:val="000000"/>
          <w:sz w:val="24"/>
          <w:szCs w:val="24"/>
          <w:highlight w:val="none"/>
        </w:rPr>
        <w:t>2、合格的投标人</w:t>
      </w:r>
      <w:bookmarkEnd w:id="44"/>
      <w:bookmarkEnd w:id="45"/>
      <w:bookmarkEnd w:id="46"/>
    </w:p>
    <w:p w14:paraId="1555F18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20D83CF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满足本文件实质性要求和条件的规定。</w:t>
      </w:r>
    </w:p>
    <w:p w14:paraId="53A94765">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bookmarkStart w:id="47" w:name="_Toc20823278"/>
      <w:bookmarkStart w:id="48" w:name="_Toc513029206"/>
      <w:bookmarkStart w:id="49" w:name="_Toc16938522"/>
      <w:r>
        <w:rPr>
          <w:rFonts w:hint="eastAsia" w:ascii="宋体" w:hAnsi="宋体" w:eastAsia="宋体" w:cs="宋体"/>
          <w:color w:val="000000"/>
          <w:sz w:val="24"/>
          <w:szCs w:val="24"/>
          <w:highlight w:val="none"/>
        </w:rPr>
        <w:t>3、适用法律</w:t>
      </w:r>
      <w:bookmarkEnd w:id="47"/>
      <w:bookmarkEnd w:id="48"/>
      <w:bookmarkEnd w:id="49"/>
    </w:p>
    <w:p w14:paraId="00F420D2">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 本次招标及由此产生的合同受中华人民共和国有关的法律法规制约和保护。</w:t>
      </w:r>
    </w:p>
    <w:p w14:paraId="40AEBF59">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bookmarkStart w:id="50" w:name="_Toc20823279"/>
      <w:bookmarkStart w:id="51" w:name="_Toc513029207"/>
      <w:bookmarkStart w:id="52" w:name="_Toc16938523"/>
      <w:bookmarkStart w:id="53" w:name="_Toc462564067"/>
      <w:r>
        <w:rPr>
          <w:rFonts w:hint="eastAsia" w:ascii="宋体" w:hAnsi="宋体" w:eastAsia="宋体" w:cs="宋体"/>
          <w:color w:val="000000"/>
          <w:sz w:val="24"/>
          <w:szCs w:val="24"/>
          <w:highlight w:val="none"/>
        </w:rPr>
        <w:t>4、投标费用</w:t>
      </w:r>
      <w:bookmarkEnd w:id="50"/>
      <w:bookmarkEnd w:id="51"/>
      <w:bookmarkEnd w:id="52"/>
      <w:bookmarkEnd w:id="53"/>
    </w:p>
    <w:p w14:paraId="5772896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 投标人应自行承担所有与参加投标有关的费用，无论投标过程中的做法和结果如何，盐城市大丰中医院（盐城市大丰区老年医院）（以下简称采购人）在任何情况下均无义务和责任承担这些费用。</w:t>
      </w:r>
    </w:p>
    <w:p w14:paraId="188117D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w:t>
      </w:r>
      <w:r>
        <w:rPr>
          <w:rFonts w:hint="eastAsia" w:ascii="宋体" w:hAnsi="宋体" w:eastAsia="宋体" w:cs="宋体"/>
          <w:color w:val="000000"/>
          <w:sz w:val="24"/>
          <w:szCs w:val="24"/>
          <w:highlight w:val="none"/>
          <w:lang w:val="en-US" w:eastAsia="zh-CN"/>
        </w:rPr>
        <w:t>本项目</w:t>
      </w:r>
      <w:r>
        <w:rPr>
          <w:rFonts w:hint="eastAsia" w:ascii="宋体" w:hAnsi="宋体" w:eastAsia="宋体" w:cs="宋体"/>
          <w:color w:val="000000"/>
          <w:sz w:val="24"/>
          <w:szCs w:val="24"/>
          <w:highlight w:val="none"/>
        </w:rPr>
        <w:t>中标供应商须承担按苏招协【2022】002号文件*40%采购代理服务费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供应商综合考虑</w:t>
      </w:r>
      <w:r>
        <w:rPr>
          <w:rFonts w:hint="eastAsia" w:ascii="宋体" w:hAnsi="宋体" w:eastAsia="宋体" w:cs="宋体"/>
          <w:color w:val="000000"/>
          <w:sz w:val="24"/>
          <w:szCs w:val="24"/>
          <w:highlight w:val="none"/>
        </w:rPr>
        <w:t>代理</w:t>
      </w:r>
      <w:r>
        <w:rPr>
          <w:rFonts w:hint="eastAsia" w:ascii="宋体" w:hAnsi="宋体" w:eastAsia="宋体" w:cs="宋体"/>
          <w:color w:val="000000"/>
          <w:sz w:val="24"/>
          <w:szCs w:val="24"/>
          <w:highlight w:val="none"/>
          <w:lang w:val="en-US" w:eastAsia="zh-CN"/>
        </w:rPr>
        <w:t>服务</w:t>
      </w:r>
      <w:r>
        <w:rPr>
          <w:rFonts w:hint="eastAsia" w:ascii="宋体" w:hAnsi="宋体" w:eastAsia="宋体" w:cs="宋体"/>
          <w:color w:val="000000"/>
          <w:sz w:val="24"/>
          <w:szCs w:val="24"/>
          <w:highlight w:val="none"/>
        </w:rPr>
        <w:t>费、专家论证费</w:t>
      </w:r>
      <w:r>
        <w:rPr>
          <w:rFonts w:hint="eastAsia" w:ascii="宋体" w:hAnsi="宋体" w:eastAsia="宋体" w:cs="宋体"/>
          <w:color w:val="000000"/>
          <w:sz w:val="24"/>
          <w:szCs w:val="24"/>
          <w:highlight w:val="none"/>
          <w:lang w:val="en-US" w:eastAsia="zh-CN"/>
        </w:rPr>
        <w:t>该部分费用不单列，中标供应商在领取通知书时一次性支付。</w:t>
      </w:r>
    </w:p>
    <w:p w14:paraId="2E3FB307">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招标文件的约束力</w:t>
      </w:r>
    </w:p>
    <w:p w14:paraId="5F4AAD3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 投标人一旦参加本项目采购活动，即被认为接受了本招标文件的规定和约束。</w:t>
      </w:r>
    </w:p>
    <w:p w14:paraId="07B38712">
      <w:pPr>
        <w:pStyle w:val="12"/>
        <w:keepNext/>
        <w:keepLines/>
        <w:pageBreakBefore w:val="0"/>
        <w:widowControl w:val="0"/>
        <w:kinsoku/>
        <w:wordWrap/>
        <w:overflowPunct/>
        <w:topLinePunct w:val="0"/>
        <w:autoSpaceDE/>
        <w:autoSpaceDN/>
        <w:bidi w:val="0"/>
        <w:adjustRightInd w:val="0"/>
        <w:snapToGrid w:val="0"/>
        <w:spacing w:before="145" w:beforeAutospacing="0" w:after="145" w:afterAutospacing="0" w:line="360" w:lineRule="auto"/>
        <w:ind w:firstLine="321"/>
        <w:jc w:val="both"/>
        <w:textAlignment w:val="auto"/>
        <w:rPr>
          <w:rFonts w:hint="eastAsia" w:ascii="宋体" w:hAnsi="宋体" w:eastAsia="宋体" w:cs="宋体"/>
          <w:sz w:val="24"/>
          <w:szCs w:val="24"/>
          <w:highlight w:val="none"/>
        </w:rPr>
      </w:pPr>
      <w:bookmarkStart w:id="54" w:name="_Toc16938525"/>
      <w:bookmarkStart w:id="55" w:name="_Toc120614215"/>
      <w:bookmarkStart w:id="56" w:name="_Toc513029209"/>
      <w:bookmarkStart w:id="57" w:name="_Toc20823281"/>
      <w:r>
        <w:rPr>
          <w:rFonts w:hint="eastAsia" w:ascii="宋体" w:hAnsi="宋体" w:eastAsia="宋体" w:cs="宋体"/>
          <w:b/>
          <w:color w:val="000000"/>
          <w:sz w:val="24"/>
          <w:szCs w:val="24"/>
          <w:highlight w:val="none"/>
        </w:rPr>
        <w:t>二、招标文件</w:t>
      </w:r>
      <w:bookmarkEnd w:id="54"/>
      <w:bookmarkEnd w:id="55"/>
      <w:bookmarkEnd w:id="56"/>
      <w:bookmarkEnd w:id="57"/>
    </w:p>
    <w:p w14:paraId="2F83F8F5">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bookmarkStart w:id="58" w:name="_Toc16938526"/>
      <w:bookmarkStart w:id="59" w:name="_Toc20823282"/>
      <w:bookmarkStart w:id="60" w:name="_Toc513029210"/>
      <w:r>
        <w:rPr>
          <w:rFonts w:hint="eastAsia" w:ascii="宋体" w:hAnsi="宋体" w:eastAsia="宋体" w:cs="宋体"/>
          <w:color w:val="000000"/>
          <w:sz w:val="24"/>
          <w:szCs w:val="24"/>
          <w:highlight w:val="none"/>
        </w:rPr>
        <w:t>6、招标文件构成</w:t>
      </w:r>
      <w:bookmarkEnd w:id="58"/>
      <w:bookmarkEnd w:id="59"/>
      <w:bookmarkEnd w:id="60"/>
    </w:p>
    <w:p w14:paraId="09D59A2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64B74B0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36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6989F30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6605AC4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769C3F08">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4607D88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740ADAA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6BE2BA9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请仔细检查招标文件是否齐全，如有缺漏请立即与采购中心联系解决。</w:t>
      </w:r>
    </w:p>
    <w:p w14:paraId="48D5BE9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61" w:name="_Toc20823283"/>
      <w:bookmarkStart w:id="62" w:name="_Toc462564070"/>
      <w:bookmarkStart w:id="63" w:name="_Toc16938527"/>
      <w:bookmarkStart w:id="64" w:name="_Toc513029211"/>
      <w:r>
        <w:rPr>
          <w:rFonts w:hint="eastAsia" w:ascii="宋体" w:hAnsi="宋体" w:eastAsia="宋体" w:cs="宋体"/>
          <w:color w:val="000000"/>
          <w:sz w:val="24"/>
          <w:szCs w:val="24"/>
          <w:highlight w:val="none"/>
        </w:rPr>
        <w:t>7、招标文件的澄清</w:t>
      </w:r>
      <w:bookmarkEnd w:id="61"/>
      <w:bookmarkEnd w:id="62"/>
      <w:bookmarkEnd w:id="63"/>
      <w:bookmarkEnd w:id="64"/>
    </w:p>
    <w:p w14:paraId="22F4087B">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 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前按招标公告中的通讯地址，以书面形式通知采购中心。</w:t>
      </w:r>
    </w:p>
    <w:p w14:paraId="20CF7084">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65" w:name="_Toc462564071"/>
      <w:bookmarkStart w:id="66" w:name="_Toc20823284"/>
      <w:bookmarkStart w:id="67" w:name="_Toc513029212"/>
      <w:bookmarkStart w:id="68" w:name="_Toc16938528"/>
      <w:r>
        <w:rPr>
          <w:rFonts w:hint="eastAsia" w:ascii="宋体" w:hAnsi="宋体" w:eastAsia="宋体" w:cs="宋体"/>
          <w:color w:val="000000"/>
          <w:sz w:val="24"/>
          <w:szCs w:val="24"/>
          <w:highlight w:val="none"/>
        </w:rPr>
        <w:t>8、招标文件的修改</w:t>
      </w:r>
      <w:bookmarkEnd w:id="65"/>
      <w:bookmarkEnd w:id="66"/>
      <w:bookmarkEnd w:id="67"/>
      <w:bookmarkEnd w:id="68"/>
    </w:p>
    <w:p w14:paraId="62C809B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 在投标截止时间前，采购中心可以对招标文件进行修改。</w:t>
      </w:r>
    </w:p>
    <w:p w14:paraId="2459CDD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 采购中心有权按照法定的要求推迟投标截止日期和开标日期。</w:t>
      </w:r>
    </w:p>
    <w:p w14:paraId="5385C31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 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color w:val="000000"/>
          <w:sz w:val="24"/>
          <w:szCs w:val="24"/>
          <w:highlight w:val="none"/>
        </w:rPr>
        <w:t>公布，补充文件将作为招标文件的组成部分，并对投标人具有约束力。</w:t>
      </w:r>
    </w:p>
    <w:p w14:paraId="2CDB0962">
      <w:pPr>
        <w:pStyle w:val="12"/>
        <w:keepNext/>
        <w:keepLines/>
        <w:pageBreakBefore w:val="0"/>
        <w:widowControl w:val="0"/>
        <w:kinsoku/>
        <w:wordWrap/>
        <w:overflowPunct/>
        <w:topLinePunct w:val="0"/>
        <w:autoSpaceDE/>
        <w:autoSpaceDN/>
        <w:bidi w:val="0"/>
        <w:adjustRightInd w:val="0"/>
        <w:snapToGrid w:val="0"/>
        <w:spacing w:before="145" w:beforeAutospacing="0" w:after="145" w:afterAutospacing="0" w:line="360" w:lineRule="auto"/>
        <w:ind w:firstLine="482"/>
        <w:jc w:val="both"/>
        <w:textAlignment w:val="auto"/>
        <w:rPr>
          <w:rFonts w:hint="eastAsia" w:ascii="宋体" w:hAnsi="宋体" w:eastAsia="宋体" w:cs="宋体"/>
          <w:sz w:val="24"/>
          <w:szCs w:val="24"/>
          <w:highlight w:val="none"/>
        </w:rPr>
      </w:pPr>
      <w:bookmarkStart w:id="69" w:name="_Toc16938529"/>
      <w:bookmarkStart w:id="70" w:name="_Toc462564072"/>
      <w:bookmarkStart w:id="71" w:name="_Toc513029213"/>
      <w:bookmarkStart w:id="72" w:name="_Toc20823285"/>
      <w:bookmarkStart w:id="73" w:name="_Toc120614216"/>
      <w:r>
        <w:rPr>
          <w:rFonts w:hint="eastAsia" w:ascii="宋体" w:hAnsi="宋体" w:eastAsia="宋体" w:cs="宋体"/>
          <w:b/>
          <w:color w:val="000000"/>
          <w:sz w:val="24"/>
          <w:szCs w:val="24"/>
          <w:highlight w:val="none"/>
        </w:rPr>
        <w:t>三、投标文件的编制</w:t>
      </w:r>
      <w:bookmarkEnd w:id="69"/>
      <w:bookmarkEnd w:id="70"/>
      <w:bookmarkEnd w:id="71"/>
      <w:bookmarkEnd w:id="72"/>
      <w:bookmarkEnd w:id="73"/>
    </w:p>
    <w:p w14:paraId="60E1EE2D">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74" w:name="_Toc462564073"/>
      <w:bookmarkStart w:id="75" w:name="_Toc16938530"/>
      <w:bookmarkStart w:id="76" w:name="_Toc20823286"/>
      <w:bookmarkStart w:id="77" w:name="_Toc513029214"/>
      <w:r>
        <w:rPr>
          <w:rFonts w:hint="eastAsia" w:ascii="宋体" w:hAnsi="宋体" w:eastAsia="宋体" w:cs="宋体"/>
          <w:color w:val="000000"/>
          <w:sz w:val="24"/>
          <w:szCs w:val="24"/>
          <w:highlight w:val="none"/>
        </w:rPr>
        <w:t>9、投标文件的语言及度量衡单位</w:t>
      </w:r>
      <w:bookmarkEnd w:id="74"/>
      <w:bookmarkEnd w:id="75"/>
      <w:bookmarkEnd w:id="76"/>
      <w:bookmarkEnd w:id="77"/>
    </w:p>
    <w:p w14:paraId="47E3879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 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7A824E7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 除技术性能另有规定外，投标文件所使用的度量衡单位，均须采用国家法定计量单位。</w:t>
      </w:r>
    </w:p>
    <w:p w14:paraId="6A40A865">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78" w:name="_Toc16938531"/>
      <w:bookmarkStart w:id="79" w:name="_Toc513029215"/>
      <w:bookmarkStart w:id="80" w:name="_Toc20823287"/>
      <w:bookmarkStart w:id="81" w:name="_Toc462564074"/>
      <w:r>
        <w:rPr>
          <w:rFonts w:hint="eastAsia" w:ascii="宋体" w:hAnsi="宋体" w:eastAsia="宋体" w:cs="宋体"/>
          <w:color w:val="000000"/>
          <w:sz w:val="24"/>
          <w:szCs w:val="24"/>
          <w:highlight w:val="none"/>
        </w:rPr>
        <w:t>10、投标文件构成</w:t>
      </w:r>
      <w:bookmarkEnd w:id="78"/>
      <w:bookmarkEnd w:id="79"/>
      <w:bookmarkEnd w:id="80"/>
      <w:bookmarkEnd w:id="81"/>
    </w:p>
    <w:p w14:paraId="275DB53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 投标人编写的投标文件应包括资格证明文件、符合性证明文件、投标分项报价表、技术要求响应及偏离表、商务要求响应及偏离表、开标一览表</w:t>
      </w:r>
      <w:r>
        <w:rPr>
          <w:rFonts w:hint="eastAsia" w:ascii="宋体" w:hAnsi="宋体" w:eastAsia="宋体" w:cs="宋体"/>
          <w:color w:val="000000"/>
          <w:sz w:val="24"/>
          <w:szCs w:val="24"/>
          <w:highlight w:val="none"/>
          <w:lang w:eastAsia="zh-CN"/>
        </w:rPr>
        <w:t>、</w:t>
      </w:r>
      <w:r>
        <w:rPr>
          <w:rFonts w:hint="eastAsia" w:ascii="宋体" w:hAnsi="宋体" w:eastAsia="宋体" w:cs="宋体"/>
          <w:color w:val="auto"/>
          <w:sz w:val="24"/>
        </w:rPr>
        <w:t>服务方案</w:t>
      </w:r>
      <w:r>
        <w:rPr>
          <w:rFonts w:hint="eastAsia" w:ascii="宋体" w:hAnsi="宋体" w:eastAsia="宋体" w:cs="宋体"/>
          <w:color w:val="auto"/>
          <w:sz w:val="24"/>
          <w:lang w:eastAsia="zh-CN"/>
        </w:rPr>
        <w:t>、</w:t>
      </w:r>
      <w:r>
        <w:rPr>
          <w:rFonts w:hint="eastAsia" w:ascii="宋体" w:hAnsi="宋体" w:eastAsia="宋体" w:cs="宋体"/>
          <w:color w:val="auto"/>
          <w:sz w:val="24"/>
        </w:rPr>
        <w:t>盐城市政府采购事前信用承诺书</w:t>
      </w:r>
      <w:r>
        <w:rPr>
          <w:rFonts w:hint="eastAsia" w:ascii="宋体" w:hAnsi="宋体" w:eastAsia="宋体" w:cs="宋体"/>
          <w:color w:val="000000"/>
          <w:sz w:val="24"/>
          <w:szCs w:val="24"/>
          <w:highlight w:val="none"/>
        </w:rPr>
        <w:t>等部分。</w:t>
      </w:r>
    </w:p>
    <w:p w14:paraId="7CF7A2E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 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发布的招标文件不一致，请以</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发布的招标文件为准。</w:t>
      </w:r>
    </w:p>
    <w:p w14:paraId="5BBD351A">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82" w:name="_Toc513029219"/>
      <w:bookmarkStart w:id="83" w:name="_Toc49090509"/>
      <w:bookmarkStart w:id="84" w:name="_Toc513029216"/>
      <w:bookmarkStart w:id="85" w:name="_Toc14577354"/>
      <w:bookmarkStart w:id="86" w:name="_Toc14577355"/>
      <w:bookmarkStart w:id="87" w:name="_Toc49090508"/>
      <w:bookmarkStart w:id="88" w:name="_Toc14577357"/>
      <w:bookmarkStart w:id="89" w:name="_Toc49090507"/>
      <w:bookmarkStart w:id="90" w:name="_Hlt26668975"/>
      <w:bookmarkStart w:id="91" w:name="_Hlt26954838"/>
      <w:bookmarkStart w:id="92" w:name="_Hlt26670360"/>
      <w:r>
        <w:rPr>
          <w:rFonts w:hint="eastAsia" w:ascii="宋体" w:hAnsi="宋体" w:eastAsia="宋体" w:cs="宋体"/>
          <w:color w:val="000000"/>
          <w:sz w:val="24"/>
          <w:szCs w:val="24"/>
          <w:highlight w:val="none"/>
        </w:rPr>
        <w:t>11、证明投标人及投标标的符合招标文件规定的文件</w:t>
      </w:r>
      <w:bookmarkEnd w:id="82"/>
      <w:bookmarkEnd w:id="83"/>
      <w:bookmarkEnd w:id="84"/>
      <w:bookmarkEnd w:id="85"/>
      <w:bookmarkEnd w:id="86"/>
      <w:bookmarkEnd w:id="87"/>
      <w:bookmarkEnd w:id="88"/>
      <w:bookmarkEnd w:id="89"/>
    </w:p>
    <w:p w14:paraId="0718222F">
      <w:pPr>
        <w:pStyle w:val="12"/>
        <w:pageBreakBefore w:val="0"/>
        <w:widowControl w:val="0"/>
        <w:kinsoku/>
        <w:wordWrap/>
        <w:overflowPunct/>
        <w:topLinePunct w:val="0"/>
        <w:autoSpaceDE/>
        <w:autoSpaceDN/>
        <w:bidi w:val="0"/>
        <w:adjustRightInd w:val="0"/>
        <w:snapToGrid w:val="0"/>
        <w:spacing w:beforeAutospacing="0" w:afterAutospacing="0"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11.1 投标人应按照招标文件要求提交证明文件，证明其及投标标的符合招标文件规定。</w:t>
      </w:r>
    </w:p>
    <w:p w14:paraId="5A9CFDC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240AFD51">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12、投标分项报价表</w:t>
      </w:r>
    </w:p>
    <w:p w14:paraId="16C7F70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 投标人应按照招标文件规定格式填报投标分项报价表。</w:t>
      </w:r>
    </w:p>
    <w:p w14:paraId="24BE96D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为单位标注。招标文件中另有规定的按规定执行。</w:t>
      </w:r>
    </w:p>
    <w:p w14:paraId="73ADED15">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93" w:name="_Hlt26670482"/>
      <w:bookmarkStart w:id="94" w:name="_Hlt26954846"/>
      <w:bookmarkStart w:id="95" w:name="_Hlt26954731"/>
      <w:bookmarkStart w:id="96" w:name="_Hlt26670486"/>
      <w:bookmarkStart w:id="97" w:name="_Hlt26954848"/>
      <w:r>
        <w:rPr>
          <w:rFonts w:hint="eastAsia" w:ascii="宋体" w:hAnsi="宋体" w:eastAsia="宋体" w:cs="宋体"/>
          <w:color w:val="000000"/>
          <w:sz w:val="24"/>
          <w:szCs w:val="24"/>
          <w:highlight w:val="none"/>
        </w:rPr>
        <w:t>13、技术要求响应及偏离表、商务要求响应及偏离表</w:t>
      </w:r>
    </w:p>
    <w:p w14:paraId="321FCB1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7FDE64E6">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 投标人可在投标文件中提供认为需要的其他技术文件或说明。</w:t>
      </w:r>
    </w:p>
    <w:p w14:paraId="34DA4C08">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14、服务承诺、培训计划、人员安排及其他</w:t>
      </w:r>
    </w:p>
    <w:p w14:paraId="74ECEAD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 投标人需根据招标文件要求提供有关售后服务的管理制度，售后服务机构的分布情况，售后服务人员的数量、素质、技术水平及售后服务的反应能力等。</w:t>
      </w:r>
    </w:p>
    <w:p w14:paraId="1128F8E2">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 投标人需根据招标文件要求提供培训计划。</w:t>
      </w:r>
    </w:p>
    <w:p w14:paraId="61737098">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14.3投标人需根据招标文件要求提供所投标的的主要组成部分、功能设计、实现思路及关键技术等。</w:t>
      </w:r>
    </w:p>
    <w:p w14:paraId="5B2B6267">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98" w:name="_Toc49090510"/>
      <w:bookmarkStart w:id="99" w:name="_Toc14577359"/>
      <w:r>
        <w:rPr>
          <w:rFonts w:hint="eastAsia" w:ascii="宋体" w:hAnsi="宋体" w:eastAsia="宋体" w:cs="宋体"/>
          <w:color w:val="000000"/>
          <w:sz w:val="24"/>
          <w:szCs w:val="24"/>
          <w:highlight w:val="none"/>
        </w:rPr>
        <w:t>15、投标函和开标一览表</w:t>
      </w:r>
      <w:bookmarkEnd w:id="98"/>
      <w:bookmarkEnd w:id="99"/>
    </w:p>
    <w:p w14:paraId="3CB4F30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 投标人应按照招标文件中提供的格式完整、正确填写投标函、开标一览表。</w:t>
      </w:r>
    </w:p>
    <w:p w14:paraId="3C52A66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036159CB">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100" w:name="_Toc14577360"/>
      <w:bookmarkStart w:id="101" w:name="_Toc49090511"/>
      <w:r>
        <w:rPr>
          <w:rFonts w:hint="eastAsia" w:ascii="宋体" w:hAnsi="宋体" w:eastAsia="宋体" w:cs="宋体"/>
          <w:color w:val="000000"/>
          <w:sz w:val="24"/>
          <w:szCs w:val="24"/>
          <w:highlight w:val="none"/>
        </w:rPr>
        <w:t>16、投标有效期</w:t>
      </w:r>
      <w:bookmarkEnd w:id="100"/>
      <w:bookmarkEnd w:id="101"/>
    </w:p>
    <w:p w14:paraId="32AAB68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16.1投标有效期为采购中心规定的开标之日后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43AEABA6">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17、投标有效期的延长</w:t>
      </w:r>
    </w:p>
    <w:p w14:paraId="5858C67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4B10AB49">
      <w:pPr>
        <w:pStyle w:val="12"/>
        <w:keepNext/>
        <w:keepLines/>
        <w:pageBreakBefore w:val="0"/>
        <w:widowControl w:val="0"/>
        <w:kinsoku/>
        <w:wordWrap/>
        <w:overflowPunct/>
        <w:topLinePunct w:val="0"/>
        <w:autoSpaceDE/>
        <w:autoSpaceDN/>
        <w:bidi w:val="0"/>
        <w:adjustRightInd w:val="0"/>
        <w:snapToGrid w:val="0"/>
        <w:spacing w:before="145" w:beforeAutospacing="0" w:after="145" w:afterAutospacing="0" w:line="360" w:lineRule="auto"/>
        <w:ind w:firstLine="241" w:firstLineChars="100"/>
        <w:jc w:val="both"/>
        <w:textAlignment w:val="auto"/>
        <w:rPr>
          <w:rFonts w:hint="eastAsia" w:ascii="宋体" w:hAnsi="宋体" w:eastAsia="宋体" w:cs="宋体"/>
          <w:sz w:val="24"/>
          <w:szCs w:val="24"/>
          <w:highlight w:val="none"/>
        </w:rPr>
      </w:pPr>
      <w:bookmarkStart w:id="102" w:name="_Toc16938540"/>
      <w:bookmarkStart w:id="103" w:name="_Toc513029224"/>
      <w:bookmarkStart w:id="104" w:name="_Toc20823296"/>
      <w:bookmarkStart w:id="105" w:name="_Toc120614217"/>
      <w:bookmarkStart w:id="106" w:name="_Hlt26954852"/>
      <w:bookmarkStart w:id="107" w:name="_Hlt26954739"/>
      <w:r>
        <w:rPr>
          <w:rFonts w:hint="eastAsia" w:ascii="宋体" w:hAnsi="宋体" w:eastAsia="宋体" w:cs="宋体"/>
          <w:b/>
          <w:color w:val="000000"/>
          <w:sz w:val="24"/>
          <w:szCs w:val="24"/>
          <w:highlight w:val="none"/>
        </w:rPr>
        <w:t>四、投标文件的递交</w:t>
      </w:r>
      <w:bookmarkEnd w:id="102"/>
      <w:bookmarkEnd w:id="103"/>
      <w:bookmarkEnd w:id="104"/>
      <w:bookmarkEnd w:id="105"/>
    </w:p>
    <w:p w14:paraId="462B5A82">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108" w:name="_Toc20823297"/>
      <w:bookmarkStart w:id="109" w:name="_Toc462564084"/>
      <w:bookmarkStart w:id="110" w:name="_Toc16938541"/>
      <w:bookmarkStart w:id="111" w:name="_Toc513029225"/>
      <w:r>
        <w:rPr>
          <w:rFonts w:hint="eastAsia" w:ascii="宋体" w:hAnsi="宋体" w:eastAsia="宋体" w:cs="宋体"/>
          <w:color w:val="000000"/>
          <w:sz w:val="24"/>
          <w:szCs w:val="24"/>
          <w:highlight w:val="none"/>
        </w:rPr>
        <w:t>18、电子投标文件</w:t>
      </w:r>
      <w:bookmarkEnd w:id="108"/>
      <w:bookmarkEnd w:id="109"/>
      <w:bookmarkEnd w:id="110"/>
      <w:bookmarkEnd w:id="111"/>
      <w:r>
        <w:rPr>
          <w:rFonts w:hint="eastAsia" w:ascii="宋体" w:hAnsi="宋体" w:eastAsia="宋体" w:cs="宋体"/>
          <w:color w:val="000000"/>
          <w:sz w:val="24"/>
          <w:szCs w:val="24"/>
          <w:highlight w:val="none"/>
        </w:rPr>
        <w:t>的递交</w:t>
      </w:r>
    </w:p>
    <w:p w14:paraId="0DD88C77">
      <w:pPr>
        <w:pStyle w:val="12"/>
        <w:pageBreakBefore w:val="0"/>
        <w:widowControl w:val="0"/>
        <w:kinsoku/>
        <w:wordWrap/>
        <w:overflowPunct/>
        <w:topLinePunct w:val="0"/>
        <w:autoSpaceDE/>
        <w:autoSpaceDN/>
        <w:bidi w:val="0"/>
        <w:adjustRightInd w:val="0"/>
        <w:snapToGrid w:val="0"/>
        <w:spacing w:beforeAutospacing="0" w:afterAutospacing="0" w:line="360" w:lineRule="auto"/>
        <w:ind w:left="525"/>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18.1投标人应当按照《操作手册》规定，在投标截止时间前制作并上传电子投标文件。</w:t>
      </w:r>
      <w:bookmarkStart w:id="112" w:name="_Toc16938542"/>
      <w:bookmarkEnd w:id="112"/>
      <w:bookmarkStart w:id="113" w:name="_Toc20823298"/>
      <w:bookmarkEnd w:id="113"/>
      <w:bookmarkStart w:id="114" w:name="_Toc513029226"/>
    </w:p>
    <w:p w14:paraId="588F88B2">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19、投标截止日期</w:t>
      </w:r>
    </w:p>
    <w:p w14:paraId="6FB490A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19.1 投标人上传电子投标文件的时间不得迟于招标公告中规定的投标截止时间。</w:t>
      </w:r>
    </w:p>
    <w:p w14:paraId="6D4403A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投标人应充分考虑到网络环境、网络带宽等风险因素，如因投标人自身原因造成的电子投标文件上传不成功的按照本招标文件第二章第27.1.2条规定做无效投标处理。</w:t>
      </w:r>
    </w:p>
    <w:p w14:paraId="110EB610">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19.2 采购中心可以按照规定，通过修改招标文件酌情延长投标截止日期，在此情况下，投标人的所有权利和义务以及投标人受制的截止日期均应以延长后新的截止日期为准。</w:t>
      </w:r>
    </w:p>
    <w:p w14:paraId="7990164F">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bookmarkStart w:id="115" w:name="_Toc513029227"/>
      <w:bookmarkStart w:id="116" w:name="_Toc16938543"/>
      <w:bookmarkStart w:id="117" w:name="_Toc20823299"/>
      <w:r>
        <w:rPr>
          <w:rFonts w:hint="eastAsia" w:ascii="宋体" w:hAnsi="宋体" w:eastAsia="宋体" w:cs="宋体"/>
          <w:color w:val="000000"/>
          <w:sz w:val="24"/>
          <w:szCs w:val="24"/>
          <w:highlight w:val="none"/>
        </w:rPr>
        <w:t>20、投标文件</w:t>
      </w:r>
      <w:bookmarkEnd w:id="115"/>
      <w:bookmarkEnd w:id="116"/>
      <w:bookmarkEnd w:id="117"/>
      <w:r>
        <w:rPr>
          <w:rFonts w:hint="eastAsia" w:ascii="宋体" w:hAnsi="宋体" w:eastAsia="宋体" w:cs="宋体"/>
          <w:color w:val="000000"/>
          <w:sz w:val="24"/>
          <w:szCs w:val="24"/>
          <w:highlight w:val="none"/>
        </w:rPr>
        <w:t>的拒收</w:t>
      </w:r>
    </w:p>
    <w:p w14:paraId="6254CB7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 采购中心拒绝接收在其规定的投标截止时间后上传的任何投标文件。</w:t>
      </w:r>
    </w:p>
    <w:p w14:paraId="53D3CA18">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bookmarkStart w:id="118" w:name="_Toc16938544"/>
      <w:bookmarkStart w:id="119" w:name="_Toc20823300"/>
      <w:bookmarkStart w:id="120" w:name="_Toc513029228"/>
      <w:r>
        <w:rPr>
          <w:rFonts w:hint="eastAsia" w:ascii="宋体" w:hAnsi="宋体" w:eastAsia="宋体" w:cs="宋体"/>
          <w:color w:val="000000"/>
          <w:sz w:val="24"/>
          <w:szCs w:val="24"/>
          <w:highlight w:val="none"/>
        </w:rPr>
        <w:t>21、投标文件的撤回和修改</w:t>
      </w:r>
      <w:bookmarkEnd w:id="118"/>
      <w:bookmarkEnd w:id="119"/>
      <w:bookmarkEnd w:id="120"/>
    </w:p>
    <w:p w14:paraId="71BB8C9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 投标文件的撤回</w:t>
      </w:r>
    </w:p>
    <w:p w14:paraId="3D58AE5B">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21.1.1 电子投标文件的撤回</w:t>
      </w:r>
    </w:p>
    <w:p w14:paraId="6F98166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1679878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21.1.2 投标人撤回电子投标文件，则认为其不再参与本项目投标活动。</w:t>
      </w:r>
    </w:p>
    <w:p w14:paraId="2E4ED800">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 投标文件的修改</w:t>
      </w:r>
    </w:p>
    <w:p w14:paraId="3B657B6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21.2.1投标人可在投标截止时间前，对其电子投标文件进行修改，具体操作方法见《操作手册》。</w:t>
      </w:r>
    </w:p>
    <w:p w14:paraId="7B1A054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21.2.2 在投标截止时间之后，投标人不得对其电子投标文件作任何修改。</w:t>
      </w:r>
    </w:p>
    <w:p w14:paraId="1B11C30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21.3 在投标截止时间至招标文件中规定的投标有效期满之间的这段时间内，投标人不得撤回其投标。</w:t>
      </w:r>
    </w:p>
    <w:p w14:paraId="52B22ECF">
      <w:pPr>
        <w:pStyle w:val="12"/>
        <w:keepNext/>
        <w:keepLines/>
        <w:pageBreakBefore w:val="0"/>
        <w:widowControl w:val="0"/>
        <w:kinsoku/>
        <w:wordWrap/>
        <w:overflowPunct/>
        <w:topLinePunct w:val="0"/>
        <w:autoSpaceDE/>
        <w:autoSpaceDN/>
        <w:bidi w:val="0"/>
        <w:adjustRightInd w:val="0"/>
        <w:snapToGrid w:val="0"/>
        <w:spacing w:before="145" w:beforeAutospacing="0" w:after="145" w:afterAutospacing="0" w:line="360" w:lineRule="auto"/>
        <w:ind w:firstLine="241" w:firstLineChars="100"/>
        <w:jc w:val="both"/>
        <w:textAlignment w:val="auto"/>
        <w:rPr>
          <w:rFonts w:hint="eastAsia" w:ascii="宋体" w:hAnsi="宋体" w:eastAsia="宋体" w:cs="宋体"/>
          <w:b/>
          <w:color w:val="000000"/>
          <w:sz w:val="24"/>
          <w:szCs w:val="24"/>
          <w:highlight w:val="none"/>
        </w:rPr>
      </w:pPr>
      <w:bookmarkStart w:id="121" w:name="_Toc16938545"/>
      <w:bookmarkStart w:id="122" w:name="_Toc20823301"/>
      <w:bookmarkStart w:id="123" w:name="_Toc513029229"/>
      <w:bookmarkStart w:id="124" w:name="_Toc120614218"/>
      <w:r>
        <w:rPr>
          <w:rFonts w:hint="eastAsia" w:ascii="宋体" w:hAnsi="宋体" w:eastAsia="宋体" w:cs="宋体"/>
          <w:b/>
          <w:color w:val="000000"/>
          <w:sz w:val="24"/>
          <w:szCs w:val="24"/>
          <w:highlight w:val="none"/>
        </w:rPr>
        <w:t>五、开标与评标</w:t>
      </w:r>
      <w:bookmarkEnd w:id="121"/>
      <w:bookmarkEnd w:id="122"/>
      <w:bookmarkEnd w:id="123"/>
      <w:bookmarkEnd w:id="124"/>
    </w:p>
    <w:p w14:paraId="45C4DDE7">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bookmarkStart w:id="125" w:name="_Toc20823302"/>
      <w:bookmarkStart w:id="126" w:name="_Toc16938546"/>
      <w:bookmarkStart w:id="127" w:name="_Toc513029230"/>
      <w:r>
        <w:rPr>
          <w:rFonts w:hint="eastAsia" w:ascii="宋体" w:hAnsi="宋体" w:eastAsia="宋体" w:cs="宋体"/>
          <w:color w:val="000000"/>
          <w:sz w:val="24"/>
          <w:szCs w:val="24"/>
          <w:highlight w:val="none"/>
        </w:rPr>
        <w:t>22、开标</w:t>
      </w:r>
      <w:bookmarkEnd w:id="125"/>
      <w:bookmarkEnd w:id="126"/>
      <w:bookmarkEnd w:id="127"/>
    </w:p>
    <w:p w14:paraId="09B53F5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22.1 采购中心将在招标公告中规定的时间和地点组织公开开标。投标人应当按照《操作手册》规定，参加开标活动和在苏采云系统规定的时间内对投标文件进行解密。</w:t>
      </w:r>
    </w:p>
    <w:p w14:paraId="6F1FA8C8">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22.2开标仪式由采购中心组织。苏采云系统将自动对项目进行开标，并宣布各投标人名称和投标价格。</w:t>
      </w:r>
    </w:p>
    <w:p w14:paraId="57469D8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22.3投标人在开标过程中涉及到的投标文件解密、开标结果确认等工作，应按照《操作手册》规定执行。</w:t>
      </w:r>
    </w:p>
    <w:p w14:paraId="37C541B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22.4投标人如果对开标过程和开标记录有疑义，应当根据《操作手册》规定提出，如 苏采云系统中《开标记录表》宣布后5分钟内未提出的，视同认可开标结果。</w:t>
      </w:r>
    </w:p>
    <w:p w14:paraId="58E1EAF2">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128" w:name="_Toc20823303"/>
      <w:bookmarkStart w:id="129" w:name="_Toc513029231"/>
      <w:bookmarkStart w:id="130" w:name="_Toc16938547"/>
      <w:r>
        <w:rPr>
          <w:rFonts w:hint="eastAsia" w:ascii="宋体" w:hAnsi="宋体" w:eastAsia="宋体" w:cs="宋体"/>
          <w:color w:val="000000"/>
          <w:sz w:val="24"/>
          <w:szCs w:val="24"/>
          <w:highlight w:val="none"/>
        </w:rPr>
        <w:t>23、评标委员会</w:t>
      </w:r>
      <w:bookmarkEnd w:id="128"/>
      <w:bookmarkEnd w:id="129"/>
      <w:bookmarkEnd w:id="130"/>
    </w:p>
    <w:p w14:paraId="3A81DF0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23.1开标后，采购中心将立即组织评标委员会（以下简称评委会）进行评标。</w:t>
      </w:r>
    </w:p>
    <w:p w14:paraId="28485BD0">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23.2 评委会由采购人代表和有关技术、经济等方面的专家组成，且人员构成符合政府采购有关规定。</w:t>
      </w:r>
    </w:p>
    <w:p w14:paraId="51E2D4E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23.3评委会独立工作，负责评审所有投标文件并确定中标侯选人。</w:t>
      </w:r>
    </w:p>
    <w:p w14:paraId="2A3F73EE">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评标过程的保密与公正</w:t>
      </w:r>
    </w:p>
    <w:p w14:paraId="69AB217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24.1凡是与审查、澄清、评价和比较投标的有关资料以及授标建议等，采购人、评委、采购中心均不得向投标人或与评标无关的其他人员透露。</w:t>
      </w:r>
    </w:p>
    <w:p w14:paraId="4C3B448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24.2在评标过程中，投标人不得以任何行为影响评标过程，否则其投标文件将被作为无效投标文件。</w:t>
      </w:r>
    </w:p>
    <w:p w14:paraId="36CEA84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24.3 采购中心和评标委员会不向未中标的投标人解释未中标原因，也不公布评标过程中的相关</w:t>
      </w:r>
      <w:r>
        <w:rPr>
          <w:rFonts w:hint="eastAsia" w:ascii="宋体" w:hAnsi="宋体" w:eastAsia="宋体" w:cs="宋体"/>
          <w:color w:val="auto"/>
          <w:sz w:val="24"/>
          <w:szCs w:val="24"/>
          <w:highlight w:val="none"/>
        </w:rPr>
        <w:t>细节。</w:t>
      </w:r>
    </w:p>
    <w:p w14:paraId="6B88B0A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排序情况。</w:t>
      </w:r>
    </w:p>
    <w:p w14:paraId="7A360E34">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bookmarkStart w:id="131" w:name="_Toc20823304"/>
      <w:bookmarkStart w:id="132" w:name="_Toc513029232"/>
      <w:bookmarkStart w:id="133" w:name="_Toc16938548"/>
      <w:r>
        <w:rPr>
          <w:rFonts w:hint="eastAsia" w:ascii="宋体" w:hAnsi="宋体" w:eastAsia="宋体" w:cs="宋体"/>
          <w:color w:val="000000"/>
          <w:sz w:val="24"/>
          <w:szCs w:val="24"/>
          <w:highlight w:val="none"/>
        </w:rPr>
        <w:t>25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投标文件的澄清</w:t>
      </w:r>
      <w:bookmarkEnd w:id="131"/>
      <w:bookmarkEnd w:id="132"/>
      <w:bookmarkEnd w:id="133"/>
    </w:p>
    <w:p w14:paraId="518FE99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bookmarkStart w:id="134" w:name="_Toc16938549"/>
      <w:bookmarkStart w:id="135" w:name="_Toc20823305"/>
      <w:bookmarkStart w:id="136" w:name="_Toc513029233"/>
      <w:r>
        <w:rPr>
          <w:rFonts w:hint="eastAsia" w:ascii="宋体" w:hAnsi="宋体" w:eastAsia="宋体" w:cs="宋体"/>
          <w:color w:val="000000"/>
          <w:sz w:val="24"/>
          <w:szCs w:val="24"/>
          <w:highlight w:val="none"/>
        </w:rPr>
        <w:t>25.1评标期间，评委会对投标文件中含义不明确、同类问题表述不一致或者有明显文字和计算错误的内容，有权要求投标人作出必要的澄清、说明或者补正。</w:t>
      </w:r>
      <w:bookmarkEnd w:id="134"/>
      <w:bookmarkEnd w:id="135"/>
      <w:bookmarkEnd w:id="136"/>
    </w:p>
    <w:p w14:paraId="4251E80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6897B71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评标委员会并非对每个投标人都做澄清要求。</w:t>
      </w:r>
    </w:p>
    <w:p w14:paraId="4C8A077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25.3 接到评委会澄清、说明和补正要求的投标人如未按规定做出澄清、</w:t>
      </w:r>
      <w:r>
        <w:rPr>
          <w:rFonts w:hint="eastAsia" w:ascii="宋体" w:hAnsi="宋体" w:eastAsia="宋体" w:cs="宋体"/>
          <w:color w:val="000000"/>
          <w:sz w:val="24"/>
          <w:szCs w:val="24"/>
          <w:highlight w:val="none"/>
        </w:rPr>
        <w:t>说明和补正，其风险由投标人自行承担。</w:t>
      </w:r>
    </w:p>
    <w:p w14:paraId="1912575A">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26、对投标文件的初审</w:t>
      </w:r>
    </w:p>
    <w:p w14:paraId="50075BA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26.1投标文件初审分为资格审查和符合性审查。</w:t>
      </w:r>
    </w:p>
    <w:p w14:paraId="56905E9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26.1.1 资格审查：依据法律法规和招标文件的规定，由采购人对投标文件中的资格证明文件进行审查。资格审查的结论，采购人以书面形式向评委会进行反馈。</w:t>
      </w:r>
    </w:p>
    <w:p w14:paraId="45C4FFC8">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71BC36B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26.1.2 符合性审查：依据招标文件的规定，由评委会从投标文件的有效性、完整性和对招标文件的响应程度进行审查，以确定是否对招标文件的实质性要求作出响应。</w:t>
      </w:r>
    </w:p>
    <w:p w14:paraId="7AF371D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26.1.3 未通过资格审查或符合性审查的投标人，采购中心将</w:t>
      </w:r>
      <w:r>
        <w:rPr>
          <w:rFonts w:hint="eastAsia" w:ascii="宋体" w:hAnsi="宋体" w:eastAsia="宋体" w:cs="宋体"/>
          <w:color w:val="auto"/>
          <w:sz w:val="24"/>
          <w:szCs w:val="24"/>
          <w:highlight w:val="none"/>
        </w:rPr>
        <w:t>在苏采云系统中告知未通过资格审查或符合性审查的原因，评审结束后，采购中心将不再告知未通过资格审查或符合性审查的原因。</w:t>
      </w:r>
    </w:p>
    <w:p w14:paraId="2CBF45E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26.3如果投标文件实质上没有响应招标文件的要求，评委会将予以拒绝，投标人不得通过修改或撤销不合要求的偏离或保留而使其投标成为实质性响应的投标。</w:t>
      </w:r>
    </w:p>
    <w:p w14:paraId="251CC29B">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26.4评委会将对确定为实质性响应的投标进行进一步审核，看其是否有计算上或累加上的算术错误，修正错误的原则如下：</w:t>
      </w:r>
    </w:p>
    <w:p w14:paraId="6279A7D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3D05FD8">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0FF81280">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3C281CA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B33B4A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同时出现两种以上错误的，按照前款规定的顺序修正。</w:t>
      </w:r>
    </w:p>
    <w:p w14:paraId="376C0D64">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B1D8CB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bookmarkStart w:id="137" w:name="_Toc20823306"/>
      <w:bookmarkStart w:id="138" w:name="_Toc513029234"/>
      <w:bookmarkStart w:id="139" w:name="_Toc16938550"/>
      <w:r>
        <w:rPr>
          <w:rFonts w:hint="eastAsia" w:ascii="宋体" w:hAnsi="宋体" w:eastAsia="宋体" w:cs="宋体"/>
          <w:color w:val="000000"/>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7"/>
      <w:bookmarkEnd w:id="138"/>
      <w:bookmarkEnd w:id="139"/>
    </w:p>
    <w:p w14:paraId="456BE54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非单一产品采购项目，招标文件中将载明其中的核心产品。多家投标人提供的核心产品品牌相同的，按前两款规定处理。</w:t>
      </w:r>
    </w:p>
    <w:p w14:paraId="695D4A02">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26.7投标人在开、评标全过程中应保持通讯畅通，及时登录苏采云系统查阅、答复相关信息，并安排专人与采购中心及评标委员会联系。</w:t>
      </w:r>
    </w:p>
    <w:p w14:paraId="6258925A">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27、无效投标条款和废标条款</w:t>
      </w:r>
    </w:p>
    <w:p w14:paraId="6F72D55E">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color w:val="auto"/>
          <w:sz w:val="24"/>
          <w:szCs w:val="24"/>
          <w:highlight w:val="none"/>
        </w:rPr>
      </w:pPr>
      <w:bookmarkStart w:id="140" w:name="_Toc513029235"/>
      <w:bookmarkStart w:id="141" w:name="_Toc20823307"/>
      <w:bookmarkStart w:id="142" w:name="_Toc16938551"/>
      <w:r>
        <w:rPr>
          <w:rFonts w:hint="eastAsia" w:ascii="宋体" w:hAnsi="宋体" w:eastAsia="宋体" w:cs="宋体"/>
          <w:color w:val="auto"/>
          <w:sz w:val="24"/>
          <w:szCs w:val="24"/>
          <w:highlight w:val="none"/>
        </w:rPr>
        <w:t>27.1无效投标条款</w:t>
      </w:r>
      <w:bookmarkEnd w:id="140"/>
      <w:bookmarkEnd w:id="141"/>
      <w:bookmarkEnd w:id="142"/>
    </w:p>
    <w:p w14:paraId="199C480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1EC94C00">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51A8645C">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27.1.3同一投标人提交两个（含两个）以上不同的投标报价的。</w:t>
      </w:r>
    </w:p>
    <w:p w14:paraId="50627D9E">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27.1.4投标人不具备招标文件中规定资格要求的。</w:t>
      </w:r>
    </w:p>
    <w:p w14:paraId="6818F182">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27.1.5投标人的报价超过了采购预算或最高限价的。</w:t>
      </w:r>
    </w:p>
    <w:p w14:paraId="75DC8E64">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27.1.6未通过符合性审查的。</w:t>
      </w:r>
    </w:p>
    <w:p w14:paraId="4CB47D8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27.1.7不符合招标文件中规定的实质性要求和条件的</w:t>
      </w:r>
      <w:r>
        <w:rPr>
          <w:rFonts w:hint="eastAsia" w:ascii="宋体" w:hAnsi="宋体" w:eastAsia="宋体" w:cs="宋体"/>
          <w:color w:val="000000"/>
          <w:sz w:val="24"/>
          <w:szCs w:val="24"/>
          <w:highlight w:val="none"/>
          <w:lang w:eastAsia="zh-CN"/>
        </w:rPr>
        <w:t>。</w:t>
      </w:r>
    </w:p>
    <w:p w14:paraId="347ECC0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27.1.9投标文件含有采购人不能接受的附加条件的。</w:t>
      </w:r>
    </w:p>
    <w:p w14:paraId="7E07836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27.1.10评标委员会认为投标人的报价明显低</w:t>
      </w:r>
      <w:r>
        <w:rPr>
          <w:rFonts w:hint="eastAsia" w:ascii="宋体" w:hAnsi="宋体" w:eastAsia="宋体" w:cs="宋体"/>
          <w:color w:val="auto"/>
          <w:sz w:val="24"/>
          <w:szCs w:val="24"/>
          <w:highlight w:val="none"/>
        </w:rPr>
        <w:t>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9E548C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27.1.11投标文件未按照招标文件要求加盖CA电子公章的。</w:t>
      </w:r>
    </w:p>
    <w:p w14:paraId="188A343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其他法律、法规及本招标文件规定的属无效投标的情形。</w:t>
      </w:r>
    </w:p>
    <w:p w14:paraId="69A8EFF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FF0000"/>
          <w:sz w:val="24"/>
          <w:szCs w:val="24"/>
          <w:highlight w:val="yellow"/>
        </w:rPr>
      </w:pPr>
      <w:r>
        <w:rPr>
          <w:rFonts w:hint="eastAsia" w:ascii="宋体" w:hAnsi="宋体" w:eastAsia="宋体" w:cs="宋体"/>
          <w:color w:val="FF0000"/>
          <w:sz w:val="24"/>
          <w:szCs w:val="24"/>
          <w:highlight w:val="none"/>
        </w:rPr>
        <w:t>27.1.13</w:t>
      </w:r>
      <w:r>
        <w:rPr>
          <w:rFonts w:hint="eastAsia" w:ascii="宋体" w:hAnsi="宋体" w:eastAsia="宋体" w:cs="宋体"/>
          <w:color w:val="FF0000"/>
          <w:sz w:val="24"/>
          <w:szCs w:val="24"/>
          <w:highlight w:val="none"/>
          <w:lang w:val="en-US" w:eastAsia="zh-CN"/>
        </w:rPr>
        <w:t>带★的参数为本项目基本需求，须提供佐证材料（技术白皮书或第三方检测证明或厂家发布的彩页等），标明页码并明显标注，不得负偏离，否则作无效标处理。</w:t>
      </w:r>
    </w:p>
    <w:p w14:paraId="007CE7C7">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27.2废标条款</w:t>
      </w:r>
    </w:p>
    <w:p w14:paraId="2B9F402E">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w:t>
      </w:r>
    </w:p>
    <w:p w14:paraId="624DEA76">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27.2.2出现影响采购公正的违法、违规行为的。</w:t>
      </w:r>
    </w:p>
    <w:p w14:paraId="2E50E73F">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37387DC1">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604228ED">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因苏采云系统系统故障原因造成开标不成功的。</w:t>
      </w:r>
    </w:p>
    <w:p w14:paraId="2AFF2B5B">
      <w:pPr>
        <w:pStyle w:val="12"/>
        <w:pageBreakBefore w:val="0"/>
        <w:widowControl w:val="0"/>
        <w:kinsoku/>
        <w:wordWrap/>
        <w:overflowPunct/>
        <w:topLinePunct w:val="0"/>
        <w:autoSpaceDE/>
        <w:autoSpaceDN/>
        <w:bidi w:val="0"/>
        <w:adjustRightInd w:val="0"/>
        <w:snapToGrid w:val="0"/>
        <w:spacing w:beforeAutospacing="0" w:afterAutospacing="0" w:line="360"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4AAF87CB">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27.3.1如出现投标截止时间结束后参加投标的供应商或者</w:t>
      </w:r>
      <w:r>
        <w:rPr>
          <w:rFonts w:hint="eastAsia" w:ascii="宋体" w:hAnsi="宋体" w:eastAsia="宋体" w:cs="宋体"/>
          <w:color w:val="000000"/>
          <w:sz w:val="24"/>
          <w:szCs w:val="24"/>
          <w:highlight w:val="none"/>
        </w:rPr>
        <w:t>在评标期间对招标文件做出实质响应的供应商不足三家情况，按政府采购相关规定执行。</w:t>
      </w:r>
    </w:p>
    <w:p w14:paraId="13BE58D4">
      <w:pPr>
        <w:pStyle w:val="12"/>
        <w:keepNext/>
        <w:keepLines/>
        <w:pageBreakBefore w:val="0"/>
        <w:widowControl w:val="0"/>
        <w:kinsoku/>
        <w:wordWrap/>
        <w:overflowPunct/>
        <w:topLinePunct w:val="0"/>
        <w:autoSpaceDE/>
        <w:autoSpaceDN/>
        <w:bidi w:val="0"/>
        <w:adjustRightInd w:val="0"/>
        <w:snapToGrid w:val="0"/>
        <w:spacing w:before="145" w:beforeAutospacing="0" w:after="145" w:afterAutospacing="0" w:line="360" w:lineRule="auto"/>
        <w:ind w:firstLine="482"/>
        <w:jc w:val="both"/>
        <w:textAlignment w:val="auto"/>
        <w:rPr>
          <w:rFonts w:hint="eastAsia" w:ascii="宋体" w:hAnsi="宋体" w:eastAsia="宋体" w:cs="宋体"/>
          <w:sz w:val="24"/>
          <w:szCs w:val="24"/>
          <w:highlight w:val="none"/>
        </w:rPr>
      </w:pPr>
      <w:bookmarkStart w:id="143" w:name="_Toc120614219"/>
      <w:r>
        <w:rPr>
          <w:rFonts w:hint="eastAsia" w:ascii="宋体" w:hAnsi="宋体" w:eastAsia="宋体" w:cs="宋体"/>
          <w:b/>
          <w:color w:val="000000"/>
          <w:sz w:val="24"/>
          <w:szCs w:val="24"/>
          <w:highlight w:val="none"/>
        </w:rPr>
        <w:t>六、定标</w:t>
      </w:r>
      <w:bookmarkEnd w:id="143"/>
    </w:p>
    <w:p w14:paraId="6CF15D84">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144" w:name="_Toc20823310"/>
      <w:bookmarkStart w:id="145" w:name="_Toc16938554"/>
      <w:bookmarkStart w:id="146" w:name="_Toc513029238"/>
      <w:r>
        <w:rPr>
          <w:rFonts w:hint="eastAsia" w:ascii="宋体" w:hAnsi="宋体" w:eastAsia="宋体" w:cs="宋体"/>
          <w:color w:val="000000"/>
          <w:sz w:val="24"/>
          <w:szCs w:val="24"/>
          <w:highlight w:val="none"/>
        </w:rPr>
        <w:t>28、</w:t>
      </w:r>
      <w:bookmarkEnd w:id="144"/>
      <w:r>
        <w:rPr>
          <w:rFonts w:hint="eastAsia" w:ascii="宋体" w:hAnsi="宋体" w:eastAsia="宋体" w:cs="宋体"/>
          <w:color w:val="000000"/>
          <w:sz w:val="24"/>
          <w:szCs w:val="24"/>
          <w:highlight w:val="none"/>
        </w:rPr>
        <w:t>确定</w:t>
      </w:r>
      <w:bookmarkEnd w:id="145"/>
      <w:bookmarkEnd w:id="146"/>
      <w:r>
        <w:rPr>
          <w:rFonts w:hint="eastAsia" w:ascii="宋体" w:hAnsi="宋体" w:eastAsia="宋体" w:cs="宋体"/>
          <w:color w:val="000000"/>
          <w:sz w:val="24"/>
          <w:szCs w:val="24"/>
          <w:highlight w:val="none"/>
        </w:rPr>
        <w:t>中标单位</w:t>
      </w:r>
    </w:p>
    <w:p w14:paraId="5EB7BA6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p>
    <w:p w14:paraId="2BE6DD4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 采购人应根据评委会推荐的中标候选人确定中标人。</w:t>
      </w:r>
    </w:p>
    <w:p w14:paraId="3D004C7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 采购中心将在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发布中标公告，公告期限为1个工作日。</w:t>
      </w:r>
    </w:p>
    <w:p w14:paraId="386E0C9B">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  若有充分证据证明，中标人出现下列情况之一的，一经查实，将被取消中标资格：</w:t>
      </w:r>
    </w:p>
    <w:p w14:paraId="0BCD3E74">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28.4.1提供虚假材料谋取中标的。</w:t>
      </w:r>
    </w:p>
    <w:p w14:paraId="13E8AC6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28.4.2向采购人、采购中心行贿或者提供其他不正当利益的。</w:t>
      </w:r>
    </w:p>
    <w:p w14:paraId="734172C8">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28.4.3属于本文件规定的无效条件，但在评标过程中又未被评委会发现的。</w:t>
      </w:r>
    </w:p>
    <w:p w14:paraId="2D18E97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28.4.4与采购人或者其他供应商恶意串通的。</w:t>
      </w:r>
    </w:p>
    <w:p w14:paraId="6B4A574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28.4.5采取不正当手段诋毁、排挤其他供应商的。</w:t>
      </w:r>
    </w:p>
    <w:p w14:paraId="3FFAA27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bookmarkStart w:id="147" w:name="_Toc200451960"/>
      <w:r>
        <w:rPr>
          <w:rFonts w:hint="eastAsia" w:ascii="宋体" w:hAnsi="宋体" w:eastAsia="宋体" w:cs="宋体"/>
          <w:color w:val="000000"/>
          <w:sz w:val="24"/>
          <w:szCs w:val="24"/>
          <w:highlight w:val="none"/>
        </w:rPr>
        <w:t>28.5有下列情形之一的，视为投标人串通投标，投标无效：</w:t>
      </w:r>
      <w:bookmarkEnd w:id="147"/>
    </w:p>
    <w:p w14:paraId="17D0A97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28.5.1不同投标人的投标文件由同一单位或者个人编制；</w:t>
      </w:r>
    </w:p>
    <w:p w14:paraId="25879A9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28.5.2不同投标人委托同一单位或者个人办理投标事宜；</w:t>
      </w:r>
    </w:p>
    <w:p w14:paraId="35059A68">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 不同投标人的投标文件载明的项目管理成员或者联系人员为同一人；</w:t>
      </w:r>
    </w:p>
    <w:p w14:paraId="16134A48">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28.5.4不同投标人的投标文件异常一致或者投标报价呈规律性差异</w:t>
      </w:r>
      <w:r>
        <w:rPr>
          <w:rFonts w:hint="eastAsia" w:ascii="宋体" w:hAnsi="宋体" w:eastAsia="宋体" w:cs="宋体"/>
          <w:color w:val="000000"/>
          <w:sz w:val="24"/>
          <w:szCs w:val="24"/>
          <w:highlight w:val="none"/>
          <w:lang w:eastAsia="zh-CN"/>
        </w:rPr>
        <w:t>。</w:t>
      </w:r>
    </w:p>
    <w:p w14:paraId="72D577B2">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29、质疑处理</w:t>
      </w:r>
    </w:p>
    <w:p w14:paraId="59C4C9EB">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29.1 提出质疑的供应商应当是参与所质疑项目采购活动的供应商。潜在供应商依法获取其可质疑的采购文件的，可以对采购文件提出质疑。</w:t>
      </w:r>
    </w:p>
    <w:p w14:paraId="5664335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p>
    <w:p w14:paraId="2C6A5E0C">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   29.2.2对采购过程提出质疑的，为各采购程序环节结束之日；</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   29.2.3对中标或者成交结果提出质疑的，为中标或者成交结果公告期限届满之日。</w:t>
      </w:r>
    </w:p>
    <w:p w14:paraId="1C1F729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5CF6537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29.4 供应</w:t>
      </w:r>
      <w:r>
        <w:rPr>
          <w:rFonts w:hint="eastAsia" w:ascii="宋体" w:hAnsi="宋体" w:eastAsia="宋体" w:cs="宋体"/>
          <w:color w:val="auto"/>
          <w:sz w:val="24"/>
          <w:szCs w:val="24"/>
          <w:highlight w:val="none"/>
        </w:rPr>
        <w:t>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p>
    <w:p w14:paraId="296C6A6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采购人及采购中心只接收以纸质原件形式送达的质疑,采购人和采购中心不接受未填写快递运单的快件。采购代理机构质疑接收部门为受理处，联系地址：</w:t>
      </w:r>
      <w:r>
        <w:rPr>
          <w:rFonts w:hint="eastAsia" w:ascii="宋体" w:hAnsi="宋体" w:eastAsia="宋体" w:cs="宋体"/>
          <w:color w:val="auto"/>
          <w:sz w:val="24"/>
          <w:szCs w:val="24"/>
          <w:highlight w:val="none"/>
          <w:lang w:val="en-US" w:eastAsia="zh-CN"/>
        </w:rPr>
        <w:t>盐城市大丰区大中街道黄海东路8号</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19851500287</w:t>
      </w:r>
      <w:r>
        <w:rPr>
          <w:rFonts w:hint="eastAsia" w:ascii="宋体" w:hAnsi="宋体" w:eastAsia="宋体" w:cs="宋体"/>
          <w:color w:val="auto"/>
          <w:sz w:val="24"/>
          <w:szCs w:val="24"/>
          <w:highlight w:val="none"/>
        </w:rPr>
        <w:t>。</w:t>
      </w:r>
    </w:p>
    <w:p w14:paraId="071C5D74">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 以下情形的质疑不予受理</w:t>
      </w:r>
    </w:p>
    <w:p w14:paraId="7F914B5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29.5.1 内容不符合《政府采购质疑和投诉办法》第十二条规定的质疑。</w:t>
      </w:r>
    </w:p>
    <w:p w14:paraId="5117AD5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29.5.2 超出政府采购法定期限的质疑。</w:t>
      </w:r>
    </w:p>
    <w:p w14:paraId="26178371">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29.5.3 以传真、电子邮件等方式递交的非原件形式的质疑。</w:t>
      </w:r>
    </w:p>
    <w:p w14:paraId="276C3DD6">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29.5.4 未参加投标活动的供应商或在投标活动中自身权益未受到损害的供应商所提出的质疑。</w:t>
      </w:r>
    </w:p>
    <w:p w14:paraId="295142B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29.5.5供应商组成联合体参加投标，联合体中任何一方或多方未按要求签字、盖章、加盖公章的质疑。</w:t>
      </w:r>
    </w:p>
    <w:p w14:paraId="0E6878F6">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68"/>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DF24AE6">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30、中标通知书</w:t>
      </w:r>
    </w:p>
    <w:p w14:paraId="4F0DFD4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6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605D1C0">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6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5ED6DDAB">
      <w:pPr>
        <w:pStyle w:val="12"/>
        <w:keepNext/>
        <w:keepLines/>
        <w:pageBreakBefore w:val="0"/>
        <w:widowControl w:val="0"/>
        <w:kinsoku/>
        <w:wordWrap/>
        <w:overflowPunct/>
        <w:topLinePunct w:val="0"/>
        <w:autoSpaceDE/>
        <w:autoSpaceDN/>
        <w:bidi w:val="0"/>
        <w:adjustRightInd w:val="0"/>
        <w:snapToGrid w:val="0"/>
        <w:spacing w:before="145" w:beforeAutospacing="0" w:after="145" w:afterAutospacing="0" w:line="360" w:lineRule="auto"/>
        <w:jc w:val="both"/>
        <w:textAlignment w:val="auto"/>
        <w:rPr>
          <w:rFonts w:hint="eastAsia" w:ascii="宋体" w:hAnsi="宋体" w:eastAsia="宋体" w:cs="宋体"/>
          <w:sz w:val="24"/>
          <w:szCs w:val="24"/>
          <w:highlight w:val="none"/>
        </w:rPr>
      </w:pPr>
      <w:bookmarkStart w:id="148" w:name="_Toc20823308"/>
      <w:bookmarkStart w:id="149" w:name="_Toc16938552"/>
      <w:bookmarkStart w:id="150" w:name="_Toc513029236"/>
      <w:bookmarkStart w:id="151" w:name="_Toc120614220"/>
      <w:r>
        <w:rPr>
          <w:rFonts w:hint="eastAsia" w:ascii="宋体" w:hAnsi="宋体" w:eastAsia="宋体" w:cs="宋体"/>
          <w:b/>
          <w:color w:val="000000"/>
          <w:sz w:val="24"/>
          <w:szCs w:val="24"/>
          <w:highlight w:val="none"/>
        </w:rPr>
        <w:t>七、授予合同</w:t>
      </w:r>
      <w:bookmarkEnd w:id="148"/>
      <w:bookmarkEnd w:id="149"/>
      <w:bookmarkEnd w:id="150"/>
      <w:bookmarkEnd w:id="151"/>
    </w:p>
    <w:p w14:paraId="3FD53760">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bookmarkStart w:id="152" w:name="_Toc513029237"/>
      <w:bookmarkStart w:id="153" w:name="_Toc20823309"/>
      <w:bookmarkStart w:id="154" w:name="_Toc16938553"/>
      <w:r>
        <w:rPr>
          <w:rFonts w:hint="eastAsia" w:ascii="宋体" w:hAnsi="宋体" w:eastAsia="宋体" w:cs="宋体"/>
          <w:color w:val="000000"/>
          <w:sz w:val="24"/>
          <w:szCs w:val="24"/>
          <w:highlight w:val="none"/>
        </w:rPr>
        <w:t>31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签订合同</w:t>
      </w:r>
      <w:bookmarkEnd w:id="152"/>
      <w:bookmarkEnd w:id="153"/>
      <w:bookmarkEnd w:id="154"/>
    </w:p>
    <w:p w14:paraId="3B519A32">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6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31.l中标人应当在中标通知书发出之日起</w:t>
      </w:r>
      <w:r>
        <w:rPr>
          <w:rFonts w:hint="eastAsia" w:ascii="宋体" w:hAnsi="宋体" w:eastAsia="宋体" w:cs="宋体"/>
          <w:color w:val="000000"/>
          <w:sz w:val="24"/>
          <w:szCs w:val="24"/>
          <w:highlight w:val="none"/>
          <w:lang w:val="en-US" w:eastAsia="zh-CN"/>
        </w:rPr>
        <w:t>十五</w:t>
      </w:r>
      <w:r>
        <w:rPr>
          <w:rFonts w:hint="eastAsia" w:ascii="宋体" w:hAnsi="宋体" w:eastAsia="宋体" w:cs="宋体"/>
          <w:color w:val="000000"/>
          <w:sz w:val="24"/>
          <w:szCs w:val="24"/>
          <w:highlight w:val="none"/>
        </w:rPr>
        <w:t>日内，按照招标文件确定的事项与采购人签订政府采购合同。</w:t>
      </w:r>
    </w:p>
    <w:p w14:paraId="47C5C3E9">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6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31.2</w:t>
      </w:r>
      <w:r>
        <w:rPr>
          <w:rFonts w:hint="eastAsia" w:ascii="宋体" w:hAnsi="宋体" w:eastAsia="宋体" w:cs="宋体"/>
          <w:b/>
          <w:color w:val="000000"/>
          <w:sz w:val="24"/>
          <w:szCs w:val="24"/>
          <w:highlight w:val="none"/>
        </w:rPr>
        <w:t> </w:t>
      </w:r>
      <w:r>
        <w:rPr>
          <w:rFonts w:hint="eastAsia" w:ascii="宋体" w:hAnsi="宋体" w:eastAsia="宋体" w:cs="宋体"/>
          <w:color w:val="000000"/>
          <w:sz w:val="24"/>
          <w:szCs w:val="24"/>
          <w:highlight w:val="none"/>
        </w:rPr>
        <w:t>招标文件、中标人的投标文件及招标过程中有关澄清、承诺文件均应作为合同附件。</w:t>
      </w:r>
    </w:p>
    <w:p w14:paraId="60EA278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6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31.3 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购人损失的，中标人应承担相应赔偿责任。</w:t>
      </w:r>
    </w:p>
    <w:p w14:paraId="7A8BD332">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32、货物（包含与货物相关的服务）的追加</w:t>
      </w:r>
    </w:p>
    <w:p w14:paraId="779FCA96">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Style w:val="12"/>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33、政府采购政策功能落实</w:t>
      </w:r>
    </w:p>
    <w:p w14:paraId="3EA2C724">
      <w:pPr>
        <w:pStyle w:val="1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7831DEF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val="0"/>
        <w:snapToGrid w:val="0"/>
        <w:spacing w:line="360" w:lineRule="auto"/>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33.2进口产品</w:t>
      </w:r>
    </w:p>
    <w:p w14:paraId="5E25FDB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val="0"/>
        <w:snapToGrid w:val="0"/>
        <w:spacing w:line="360" w:lineRule="auto"/>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.3.1中小企业定义：</w:t>
      </w:r>
    </w:p>
    <w:p w14:paraId="4C9CBD8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6761BEF4">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31163D4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4DFC19B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3EA95C77">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18C13D1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4D8F3DF">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2C10A4F6">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273AB3B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25054FF3">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2B08B5C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20CB233D">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3B85C34B">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66321B5E">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3CD37815">
      <w:pPr>
        <w:pStyle w:val="12"/>
        <w:pageBreakBefore w:val="0"/>
        <w:widowControl w:val="0"/>
        <w:kinsoku/>
        <w:wordWrap/>
        <w:overflowPunct/>
        <w:topLinePunct w:val="0"/>
        <w:autoSpaceDE/>
        <w:autoSpaceDN/>
        <w:bidi w:val="0"/>
        <w:adjustRightInd w:val="0"/>
        <w:snapToGrid w:val="0"/>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33.4政府采购节能产品、环境标志产品</w:t>
      </w:r>
    </w:p>
    <w:p w14:paraId="56196F7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.4.1</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3644E8D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.4.2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3C828DB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val="0"/>
        <w:snapToGrid w:val="0"/>
        <w:spacing w:line="360" w:lineRule="auto"/>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78"/>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57947BB5">
      <w:pPr>
        <w:pageBreakBefore w:val="0"/>
        <w:widowControl w:val="0"/>
        <w:tabs>
          <w:tab w:val="left" w:pos="1381"/>
        </w:tabs>
        <w:kinsoku/>
        <w:wordWrap/>
        <w:overflowPunct/>
        <w:topLinePunct w:val="0"/>
        <w:autoSpaceDE/>
        <w:autoSpaceDN/>
        <w:bidi w:val="0"/>
        <w:adjustRightInd w:val="0"/>
        <w:snapToGrid w:val="0"/>
        <w:spacing w:line="360" w:lineRule="auto"/>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722A8D3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pageBreakBefore w:val="0"/>
        <w:widowControl w:val="0"/>
        <w:tabs>
          <w:tab w:val="left" w:pos="1381"/>
        </w:tabs>
        <w:kinsoku/>
        <w:wordWrap/>
        <w:overflowPunct/>
        <w:topLinePunct w:val="0"/>
        <w:autoSpaceDE/>
        <w:autoSpaceDN/>
        <w:bidi w:val="0"/>
        <w:adjustRightInd w:val="0"/>
        <w:snapToGrid w:val="0"/>
        <w:spacing w:line="360" w:lineRule="auto"/>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33.8履约保证金政策</w:t>
      </w:r>
    </w:p>
    <w:p w14:paraId="40F02B3A">
      <w:pPr>
        <w:pStyle w:val="24"/>
        <w:pageBreakBefore w:val="0"/>
        <w:widowControl w:val="0"/>
        <w:kinsoku/>
        <w:wordWrap/>
        <w:overflowPunct/>
        <w:topLinePunct w:val="0"/>
        <w:autoSpaceDE/>
        <w:autoSpaceDN/>
        <w:bidi w:val="0"/>
        <w:adjustRightInd w:val="0"/>
        <w:snapToGrid w:val="0"/>
        <w:spacing w:after="0" w:line="360" w:lineRule="auto"/>
        <w:ind w:left="0" w:firstLine="56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val="0"/>
        <w:snapToGrid w:val="0"/>
        <w:spacing w:line="360" w:lineRule="auto"/>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34、预付款制度</w:t>
      </w:r>
    </w:p>
    <w:p w14:paraId="23108FD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本项目落实预付款制度，预付款比例为_</w:t>
      </w:r>
      <w:r>
        <w:rPr>
          <w:rFonts w:hint="eastAsia" w:ascii="宋体" w:hAnsi="宋体" w:eastAsia="宋体" w:cs="宋体"/>
          <w:color w:val="auto"/>
          <w:kern w:val="0"/>
          <w:sz w:val="24"/>
          <w:szCs w:val="24"/>
          <w:highlight w:val="none"/>
          <w:u w:val="single"/>
          <w:lang w:val="en-US" w:eastAsia="zh-CN" w:bidi="ar-SA"/>
        </w:rPr>
        <w:t>30</w:t>
      </w:r>
      <w:r>
        <w:rPr>
          <w:rFonts w:hint="eastAsia" w:ascii="宋体" w:hAnsi="宋体" w:eastAsia="宋体" w:cs="宋体"/>
          <w:color w:val="auto"/>
          <w:kern w:val="0"/>
          <w:sz w:val="24"/>
          <w:szCs w:val="24"/>
          <w:highlight w:val="none"/>
          <w:lang w:val="en-US" w:eastAsia="zh-CN" w:bidi="ar-SA"/>
        </w:rPr>
        <w:t>_%。在签订合同时，中标、成交供应商明确书面表示无需预付款或者主动要求降低预付款比例的，采购人可就预付款比例作相应调整。</w:t>
      </w:r>
    </w:p>
    <w:p w14:paraId="53289C7D">
      <w:pPr>
        <w:pStyle w:val="24"/>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47DE7295">
      <w:pPr>
        <w:pStyle w:val="24"/>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05511BA8">
      <w:pPr>
        <w:pStyle w:val="24"/>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71E1E772">
      <w:pPr>
        <w:pStyle w:val="24"/>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12AD4E3C">
      <w:pPr>
        <w:pStyle w:val="24"/>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33E3FFD4">
      <w:pPr>
        <w:pStyle w:val="1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D0C094D">
      <w:pPr>
        <w:widowControl/>
        <w:spacing w:line="360" w:lineRule="auto"/>
        <w:jc w:val="center"/>
        <w:rPr>
          <w:rFonts w:ascii="宋体" w:hAnsi="宋体" w:cs="宋体"/>
          <w:b/>
          <w:sz w:val="48"/>
          <w:szCs w:val="44"/>
          <w:highlight w:val="none"/>
        </w:rPr>
      </w:pPr>
      <w:r>
        <w:rPr>
          <w:rFonts w:hint="eastAsia" w:ascii="宋体" w:hAnsi="宋体" w:eastAsia="宋体" w:cs="宋体"/>
          <w:sz w:val="24"/>
          <w:szCs w:val="24"/>
          <w:highlight w:val="none"/>
        </w:rPr>
        <w:t> </w:t>
      </w:r>
      <w:bookmarkStart w:id="155" w:name="_Toc479757211"/>
      <w:bookmarkStart w:id="156" w:name="_Toc16938590"/>
      <w:bookmarkStart w:id="157" w:name="_Hlt16619350"/>
      <w:bookmarkStart w:id="158" w:name="_Toc20823346"/>
      <w:bookmarkStart w:id="159" w:name="_Toc120614244"/>
      <w:bookmarkStart w:id="160" w:name="_Toc462564139"/>
      <w:bookmarkStart w:id="161" w:name="_Hlt16619369"/>
      <w:r>
        <w:rPr>
          <w:rFonts w:hint="eastAsia" w:ascii="宋体" w:hAnsi="宋体" w:cs="宋体"/>
          <w:b/>
          <w:sz w:val="48"/>
          <w:szCs w:val="44"/>
          <w:highlight w:val="none"/>
        </w:rPr>
        <w:t>第三</w:t>
      </w:r>
      <w:r>
        <w:rPr>
          <w:rFonts w:hint="eastAsia" w:ascii="宋体" w:hAnsi="宋体" w:cs="宋体"/>
          <w:b/>
          <w:sz w:val="48"/>
          <w:szCs w:val="44"/>
          <w:highlight w:val="none"/>
          <w:lang w:eastAsia="zh-CN"/>
        </w:rPr>
        <w:t>章</w:t>
      </w:r>
      <w:r>
        <w:rPr>
          <w:rFonts w:hint="eastAsia" w:ascii="宋体" w:hAnsi="宋体" w:cs="宋体"/>
          <w:b/>
          <w:sz w:val="48"/>
          <w:szCs w:val="44"/>
          <w:highlight w:val="none"/>
        </w:rPr>
        <w:t xml:space="preserve">  合同条款</w:t>
      </w:r>
    </w:p>
    <w:p w14:paraId="34C4A229">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bookmarkStart w:id="162" w:name="_Toc20313"/>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383CC6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p>
    <w:p w14:paraId="6015715D">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采购人（甲方）：</w:t>
      </w:r>
      <w:r>
        <w:rPr>
          <w:rFonts w:hint="eastAsia" w:ascii="宋体" w:hAnsi="宋体" w:eastAsia="宋体" w:cs="宋体"/>
          <w:sz w:val="24"/>
          <w:szCs w:val="24"/>
          <w:u w:val="single"/>
        </w:rPr>
        <w:t>盐城市大丰中医院（盐城市大丰区老年医院）</w:t>
      </w:r>
    </w:p>
    <w:p w14:paraId="345B174E">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u w:val="single"/>
        </w:rPr>
      </w:pPr>
      <w:r>
        <w:rPr>
          <w:rFonts w:hint="eastAsia" w:ascii="宋体" w:hAnsi="宋体" w:eastAsia="宋体" w:cs="宋体"/>
          <w:sz w:val="24"/>
          <w:szCs w:val="24"/>
        </w:rPr>
        <w:t>供应商（乙方）：</w:t>
      </w:r>
      <w:r>
        <w:rPr>
          <w:rFonts w:hint="eastAsia" w:ascii="宋体" w:hAnsi="宋体" w:eastAsia="宋体" w:cs="宋体"/>
          <w:sz w:val="24"/>
          <w:szCs w:val="24"/>
          <w:u w:val="single"/>
        </w:rPr>
        <w:t xml:space="preserve">                          </w:t>
      </w:r>
    </w:p>
    <w:p w14:paraId="741895EF">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根据本项目前期“三重一大”事项备案表、相关文件规定的要求进行招投标，依据《中华人民共和国民法典》等相关法律法规之规定，按照平等、自愿、公平和诚实信用的原则，甲乙双方就此次中标的</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项目事宜，依据招标文件及乙方的投标文件和中标通知书，签订本合同书。</w:t>
      </w:r>
    </w:p>
    <w:p w14:paraId="46B6EE6F">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一、货物内容</w:t>
      </w:r>
    </w:p>
    <w:p w14:paraId="1D7DE95A">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1、项目名称：</w:t>
      </w:r>
      <w:r>
        <w:rPr>
          <w:rFonts w:hint="eastAsia" w:ascii="宋体" w:hAnsi="宋体" w:eastAsia="宋体" w:cs="宋体"/>
          <w:sz w:val="24"/>
          <w:szCs w:val="24"/>
          <w:u w:val="single"/>
        </w:rPr>
        <w:t xml:space="preserve">                                   </w:t>
      </w:r>
    </w:p>
    <w:p w14:paraId="45D63F16">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2、技术参数：</w:t>
      </w:r>
      <w:r>
        <w:rPr>
          <w:rFonts w:hint="eastAsia" w:ascii="宋体" w:hAnsi="宋体" w:eastAsia="宋体" w:cs="宋体"/>
          <w:sz w:val="24"/>
          <w:szCs w:val="24"/>
          <w:u w:val="single"/>
        </w:rPr>
        <w:t>按招标文件和投标文件中最优参数确定</w:t>
      </w:r>
    </w:p>
    <w:p w14:paraId="54A947A4">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u w:val="single"/>
        </w:rPr>
      </w:pPr>
      <w:r>
        <w:rPr>
          <w:rFonts w:hint="eastAsia" w:ascii="宋体" w:hAnsi="宋体" w:eastAsia="宋体" w:cs="宋体"/>
          <w:sz w:val="24"/>
          <w:szCs w:val="24"/>
        </w:rPr>
        <w:t>4、采购数量：</w:t>
      </w:r>
      <w:r>
        <w:rPr>
          <w:rFonts w:hint="eastAsia" w:ascii="宋体" w:hAnsi="宋体" w:eastAsia="宋体" w:cs="宋体"/>
          <w:sz w:val="24"/>
          <w:szCs w:val="24"/>
          <w:u w:val="single"/>
        </w:rPr>
        <w:t xml:space="preserve">                     </w:t>
      </w:r>
    </w:p>
    <w:p w14:paraId="52B08FD2">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二、合同金额</w:t>
      </w:r>
    </w:p>
    <w:p w14:paraId="2912CFAD">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本合同含税价总额为：</w:t>
      </w:r>
      <w:r>
        <w:rPr>
          <w:rFonts w:hint="eastAsia" w:ascii="宋体" w:hAnsi="宋体" w:eastAsia="宋体" w:cs="宋体"/>
          <w:sz w:val="24"/>
          <w:szCs w:val="24"/>
          <w:u w:val="single"/>
        </w:rPr>
        <w:t>（大写）             (小写：              元)</w:t>
      </w:r>
      <w:r>
        <w:rPr>
          <w:rFonts w:hint="eastAsia" w:ascii="宋体" w:hAnsi="宋体" w:eastAsia="宋体" w:cs="宋体"/>
          <w:sz w:val="24"/>
          <w:szCs w:val="24"/>
        </w:rPr>
        <w:t>。</w:t>
      </w:r>
    </w:p>
    <w:p w14:paraId="65DF419B">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合同总价为为完成本项目可能发生的全部费用及利润和税金等（包括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p>
    <w:p w14:paraId="4AC9288C">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三、质量要求</w:t>
      </w:r>
      <w:r>
        <w:rPr>
          <w:rFonts w:hint="eastAsia" w:ascii="宋体" w:hAnsi="宋体" w:eastAsia="宋体" w:cs="宋体"/>
          <w:b/>
          <w:bCs/>
          <w:sz w:val="24"/>
          <w:szCs w:val="24"/>
          <w:lang w:eastAsia="zh-CN"/>
        </w:rPr>
        <w:t>及设备到货、安装和验收要求</w:t>
      </w:r>
    </w:p>
    <w:p w14:paraId="6D07B975">
      <w:pPr>
        <w:pStyle w:val="9"/>
        <w:spacing w:line="4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质量要求：相关质量验收规范合格标准，验收执行国家或行业最新标准、招标文件各项技术参数指标、投标文件投标承诺所达到的各项技术参数指标（招标文件、投标文件、国家或行业标准不一致处以最高标准执行）。</w:t>
      </w:r>
    </w:p>
    <w:p w14:paraId="35AC5ADF">
      <w:pPr>
        <w:pStyle w:val="9"/>
        <w:spacing w:line="4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特别提醒条款：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p>
    <w:p w14:paraId="3E1DFF99">
      <w:pPr>
        <w:pStyle w:val="9"/>
        <w:spacing w:line="4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乙方保证向甲方提供的设备满足中国国家标准或相关行业标准。根据国家规定，如需提供3C认证证书和标记的设备及有关配置，必须提供上述证书和标记。</w:t>
      </w:r>
    </w:p>
    <w:p w14:paraId="0E0A2E77">
      <w:pPr>
        <w:numPr>
          <w:ilvl w:val="0"/>
          <w:numId w:val="0"/>
        </w:numPr>
        <w:tabs>
          <w:tab w:val="left" w:pos="396"/>
        </w:tabs>
        <w:spacing w:line="3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color w:val="000000"/>
          <w:sz w:val="24"/>
          <w:szCs w:val="24"/>
        </w:rPr>
        <w:t>乙方保证所供设备是全新、未使用过的原包装产品，</w:t>
      </w:r>
      <w:r>
        <w:rPr>
          <w:rFonts w:hint="eastAsia" w:ascii="宋体" w:hAnsi="宋体" w:eastAsia="宋体" w:cs="宋体"/>
          <w:b/>
          <w:color w:val="000000"/>
          <w:sz w:val="24"/>
          <w:szCs w:val="24"/>
        </w:rPr>
        <w:t>进口设备出厂日期不得早于到货日期陆个月（或180天），国产设备出厂日期不得早于到货日期叁个月（或90天）。</w:t>
      </w:r>
      <w:r>
        <w:rPr>
          <w:rFonts w:hint="eastAsia" w:ascii="宋体" w:hAnsi="宋体" w:eastAsia="宋体" w:cs="宋体"/>
          <w:color w:val="000000"/>
          <w:sz w:val="24"/>
          <w:szCs w:val="24"/>
        </w:rPr>
        <w:t>乙方须保证所供产品质量合格，不得弄虚作假、不得提供假冒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纠纷，乙方承担全部的法律和经济责任。</w:t>
      </w:r>
    </w:p>
    <w:p w14:paraId="4DFC144D">
      <w:pPr>
        <w:pStyle w:val="9"/>
        <w:spacing w:line="4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乙方所供设备如验收不合格，根据甲方的要求，乙方必须无条件换货或退货，由此引起的一切损失由乙方承担。</w:t>
      </w:r>
    </w:p>
    <w:p w14:paraId="787F2D20">
      <w:pPr>
        <w:pStyle w:val="9"/>
        <w:spacing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b/>
          <w:sz w:val="24"/>
          <w:szCs w:val="24"/>
        </w:rPr>
        <w:t>设备到货、安装和验收要求</w:t>
      </w:r>
    </w:p>
    <w:p w14:paraId="0173FC74">
      <w:pPr>
        <w:pStyle w:val="9"/>
        <w:spacing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设备到货时间，请乙方提前一周通知甲方（联系人：李晓玲，电话13645102609），甲方可安排好交接工作。设备到达甲方医院时，乙方代表必须随机到达，由乙方负责卸货并搬运至甲方指定的地点，待设备搬运完毕后，甲乙双方办理交接手续。如未按上述规定执行，造成的一切后果全部由乙方承担。</w:t>
      </w:r>
    </w:p>
    <w:p w14:paraId="0FC7920D">
      <w:pPr>
        <w:pStyle w:val="9"/>
        <w:spacing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2.2如乙方提供的设备设有维修软件密码，乙方应保证无条件为甲方永久免费开放，且软件需终身免费升级；乙方同时免费提供中标设备的所有通讯接口并连接到医院相对应的系统。</w:t>
      </w:r>
    </w:p>
    <w:p w14:paraId="519E9CD2">
      <w:pPr>
        <w:pStyle w:val="9"/>
        <w:spacing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设备安装、调试结束后，甲方对设备使用后进行验收（时间由甲、乙双方商定），乙方免费派工程师到达现场协助验收工作。甲方将对技术规格要求的指标进行逐一核实验收，如发现虚假应标，或无法实现关键技术指标功能，有权拒收，给甲方造成损失的由乙方承担一切责任。</w:t>
      </w:r>
    </w:p>
    <w:p w14:paraId="413F2B7B">
      <w:pPr>
        <w:pStyle w:val="9"/>
        <w:spacing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2.4保修期自甲方验收合格之日算起。</w:t>
      </w:r>
    </w:p>
    <w:p w14:paraId="16D3959A">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四、合同文件构成：</w:t>
      </w:r>
    </w:p>
    <w:p w14:paraId="163ECD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本协议书与下列文件一起构成合同文件：</w:t>
      </w:r>
    </w:p>
    <w:p w14:paraId="73371EA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（1）招标文件；</w:t>
      </w:r>
    </w:p>
    <w:p w14:paraId="04D1376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（2）中标通知书；</w:t>
      </w:r>
    </w:p>
    <w:p w14:paraId="4D2CFC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（3）投标文件； </w:t>
      </w:r>
    </w:p>
    <w:p w14:paraId="19EB79C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（4）技术标准和要求；</w:t>
      </w:r>
    </w:p>
    <w:p w14:paraId="435B81E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（5）已标价报价明细表；</w:t>
      </w:r>
    </w:p>
    <w:p w14:paraId="24CB780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（6）其他文件。</w:t>
      </w:r>
    </w:p>
    <w:p w14:paraId="7C442EE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在合同订立及履行过程中形成的与合同有关的文件均构成合同文件组成部分。上述各项合同文件包括合同当事人就该项合同文件所作出的补充和修改，属于同一类内容的文件，应以最新签署的为准。</w:t>
      </w:r>
    </w:p>
    <w:p w14:paraId="3555735F">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五、技术资料</w:t>
      </w:r>
    </w:p>
    <w:p w14:paraId="4B87A4F7">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1、乙方应按招标文件规定的时间向甲方提供使用货物的有关技术资料。</w:t>
      </w:r>
    </w:p>
    <w:p w14:paraId="0B9DA427">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没有甲方事先书面同意，乙方不得将由采购人提供的有关合同或任何合同条文、规格、样品或资料提供给与履行本合同无关的任何其他人。即使向履行本合同有关的人员提供，也应注意保密并限于履行合同的必需范围。</w:t>
      </w:r>
    </w:p>
    <w:p w14:paraId="480C28F1">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六、知识产权</w:t>
      </w:r>
    </w:p>
    <w:p w14:paraId="0306FCFE">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乙方应保证所提供的货物或其任何一部分均不会侵犯任何第三方的知识产权。</w:t>
      </w:r>
    </w:p>
    <w:p w14:paraId="145AB59E">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若发生侵害第三方权利的情况，由乙方独立负责与第三方交涉并承担由此产生的全部法律和经济责任；如果甲方因使用该货物而导致被第三方追诉，有权向乙方主张权利以及要求其承担由此造成的损失。</w:t>
      </w:r>
    </w:p>
    <w:p w14:paraId="46169F82">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七、产权担保</w:t>
      </w:r>
    </w:p>
    <w:p w14:paraId="7F897B01">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乙方保证所交付的货物的所有权完全属于供应商且无任何抵押、查封等产权瑕疵。</w:t>
      </w:r>
    </w:p>
    <w:p w14:paraId="56DBF755">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八、履约保证金</w:t>
      </w:r>
    </w:p>
    <w:p w14:paraId="0235AD0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z w:val="24"/>
          <w:szCs w:val="24"/>
          <w:lang w:val="en-US" w:eastAsia="zh-CN"/>
        </w:rPr>
        <w:t>1、</w:t>
      </w:r>
      <w:r>
        <w:rPr>
          <w:rFonts w:hint="eastAsia" w:ascii="宋体" w:hAnsi="宋体" w:eastAsia="宋体" w:cs="宋体"/>
          <w:sz w:val="24"/>
          <w:szCs w:val="24"/>
        </w:rPr>
        <w:t>履约保证金</w:t>
      </w:r>
      <w:r>
        <w:rPr>
          <w:rFonts w:hint="eastAsia" w:ascii="宋体" w:hAnsi="宋体" w:eastAsia="宋体" w:cs="宋体"/>
          <w:sz w:val="24"/>
          <w:szCs w:val="24"/>
          <w:lang w:eastAsia="zh-CN"/>
        </w:rPr>
        <w:t>：</w:t>
      </w:r>
      <w:r>
        <w:rPr>
          <w:rFonts w:hint="eastAsia" w:ascii="宋体" w:hAnsi="宋体" w:eastAsia="宋体" w:cs="宋体"/>
          <w:color w:val="auto"/>
          <w:kern w:val="0"/>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0A7D99E2">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hAnsi="宋体" w:eastAsia="宋体" w:cs="宋体"/>
          <w:sz w:val="24"/>
          <w:szCs w:val="24"/>
          <w:lang w:val="en-US" w:eastAsia="zh-CN"/>
        </w:rPr>
        <w:t>2</w:t>
      </w:r>
      <w:r>
        <w:rPr>
          <w:rFonts w:hint="eastAsia" w:hAnsi="宋体" w:eastAsia="宋体" w:cs="宋体"/>
          <w:sz w:val="24"/>
          <w:szCs w:val="24"/>
          <w:lang w:eastAsia="zh-CN"/>
        </w:rPr>
        <w:t>、</w:t>
      </w:r>
      <w:r>
        <w:rPr>
          <w:rFonts w:hint="eastAsia" w:ascii="宋体" w:hAnsi="宋体" w:eastAsia="宋体" w:cs="宋体"/>
          <w:sz w:val="24"/>
          <w:szCs w:val="24"/>
        </w:rPr>
        <w:t>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mw.jsdzbh.com)在线申请履约保函(保险)。</w:t>
      </w:r>
    </w:p>
    <w:p w14:paraId="38EB5383">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hAnsi="宋体" w:eastAsia="宋体" w:cs="宋体"/>
          <w:sz w:val="24"/>
          <w:szCs w:val="24"/>
          <w:lang w:val="en-US" w:eastAsia="zh-CN"/>
        </w:rPr>
        <w:t>3、</w:t>
      </w:r>
      <w:r>
        <w:rPr>
          <w:rFonts w:hint="eastAsia" w:ascii="宋体" w:hAnsi="宋体" w:eastAsia="宋体" w:cs="宋体"/>
          <w:sz w:val="24"/>
          <w:szCs w:val="24"/>
        </w:rPr>
        <w:t>履约保证金的退还：</w:t>
      </w:r>
    </w:p>
    <w:p w14:paraId="2E4335FC">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hAnsi="宋体" w:eastAsia="宋体" w:cs="宋体"/>
          <w:sz w:val="24"/>
          <w:szCs w:val="24"/>
          <w:lang w:val="en-US" w:eastAsia="zh-CN"/>
        </w:rPr>
        <w:t>3.1</w:t>
      </w:r>
      <w:r>
        <w:rPr>
          <w:rFonts w:hint="eastAsia" w:ascii="宋体" w:hAnsi="宋体" w:eastAsia="宋体" w:cs="宋体"/>
          <w:sz w:val="24"/>
          <w:szCs w:val="24"/>
        </w:rPr>
        <w:t>方式：无息退还至乙方缴纳履约保证金的账户。如为保函，在到期时自行失效。</w:t>
      </w:r>
    </w:p>
    <w:p w14:paraId="74C5A654">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hAnsi="宋体" w:eastAsia="宋体" w:cs="宋体"/>
          <w:sz w:val="24"/>
          <w:szCs w:val="24"/>
          <w:lang w:val="en-US" w:eastAsia="zh-CN"/>
        </w:rPr>
        <w:t>3.2</w:t>
      </w:r>
      <w:r>
        <w:rPr>
          <w:rFonts w:hint="eastAsia" w:ascii="宋体" w:hAnsi="宋体" w:eastAsia="宋体" w:cs="宋体"/>
          <w:sz w:val="24"/>
          <w:szCs w:val="24"/>
        </w:rPr>
        <w:t>时间：验收合格且甲方收到发票后30日内。</w:t>
      </w:r>
    </w:p>
    <w:p w14:paraId="36BA8767">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hAnsi="宋体" w:eastAsia="宋体" w:cs="宋体"/>
          <w:sz w:val="24"/>
          <w:szCs w:val="24"/>
          <w:lang w:val="en-US" w:eastAsia="zh-CN"/>
        </w:rPr>
        <w:t>3.3</w:t>
      </w:r>
      <w:r>
        <w:rPr>
          <w:rFonts w:hint="eastAsia" w:ascii="宋体" w:hAnsi="宋体" w:eastAsia="宋体" w:cs="宋体"/>
          <w:sz w:val="24"/>
          <w:szCs w:val="24"/>
        </w:rPr>
        <w:t>条件：</w:t>
      </w:r>
      <w:r>
        <w:rPr>
          <w:rFonts w:hint="eastAsia" w:ascii="宋体" w:hAnsi="宋体" w:eastAsia="宋体" w:cs="宋体"/>
          <w:sz w:val="24"/>
          <w:szCs w:val="24"/>
          <w:lang w:eastAsia="zh-CN"/>
        </w:rPr>
        <w:t>项目经甲方验收合格并签字确认</w:t>
      </w:r>
      <w:r>
        <w:rPr>
          <w:rFonts w:hint="eastAsia" w:ascii="宋体" w:hAnsi="宋体" w:eastAsia="宋体" w:cs="宋体"/>
          <w:sz w:val="24"/>
          <w:szCs w:val="24"/>
        </w:rPr>
        <w:t>。</w:t>
      </w:r>
    </w:p>
    <w:p w14:paraId="1188F1AB">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hAnsi="宋体" w:eastAsia="宋体" w:cs="宋体"/>
          <w:sz w:val="24"/>
          <w:szCs w:val="24"/>
          <w:lang w:val="en-US" w:eastAsia="zh-CN"/>
        </w:rPr>
        <w:t>3.4</w:t>
      </w:r>
      <w:r>
        <w:rPr>
          <w:rFonts w:hint="eastAsia" w:ascii="宋体" w:hAnsi="宋体" w:eastAsia="宋体" w:cs="宋体"/>
          <w:sz w:val="24"/>
          <w:szCs w:val="24"/>
        </w:rPr>
        <w:t>不予退还情形：</w:t>
      </w:r>
    </w:p>
    <w:p w14:paraId="2455AD62">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除不可抗力情况外，乙方出现下列情形之一的，其履约保证金，甲方将视情节决定不予退还或部分不予退还。</w:t>
      </w:r>
    </w:p>
    <w:p w14:paraId="4674C5D1">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（1）乙方无正当理由拒绝签订合同的，或者在签订合同时向甲方提出附加条件或者更改合同实质性内容要求的；</w:t>
      </w:r>
    </w:p>
    <w:p w14:paraId="2C10EDB4">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（2）乙方不履行与甲方订立的合同的；</w:t>
      </w:r>
    </w:p>
    <w:p w14:paraId="5ECD1410">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（3）乙方所供货物或服务不符合招标文件规定要求的；</w:t>
      </w:r>
    </w:p>
    <w:p w14:paraId="183D3F70">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（4）乙方采取欺骗、弄虚作假方式投标的或与其它投标人串通投标的；</w:t>
      </w:r>
    </w:p>
    <w:p w14:paraId="5A9714EF">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（5）乙方将合同内容转包、违法分包的；</w:t>
      </w:r>
    </w:p>
    <w:p w14:paraId="2C7C8663">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（6）乙方故意捏造事实或伪造证明材料，进行虚假恶意投诉或反映的。</w:t>
      </w:r>
    </w:p>
    <w:p w14:paraId="5D7143F8">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九、转包或分包</w:t>
      </w:r>
    </w:p>
    <w:p w14:paraId="02D0F9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1、本合同范围的货物，应由乙方直接供应，不得转让他人供应；</w:t>
      </w:r>
    </w:p>
    <w:p w14:paraId="56E0D4E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2、除非得到甲方的书面同意，乙方不得将本合同范围的货物全部或部分分包给他人供应；</w:t>
      </w:r>
    </w:p>
    <w:p w14:paraId="2AA838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3、如有转让和未经甲方同意的分包行为，甲方有权单方解除合同，不返还履约保证金并追究乙方的违约责任。</w:t>
      </w:r>
    </w:p>
    <w:p w14:paraId="1A83CBC5">
      <w:pPr>
        <w:pStyle w:val="9"/>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十、合同履行期、交货方式及交货地点</w:t>
      </w:r>
    </w:p>
    <w:p w14:paraId="30C54CB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1、合同履行期：</w:t>
      </w:r>
      <w:r>
        <w:rPr>
          <w:rFonts w:hint="eastAsia" w:ascii="宋体" w:hAnsi="宋体" w:eastAsia="宋体" w:cs="宋体"/>
          <w:sz w:val="24"/>
          <w:szCs w:val="24"/>
          <w:u w:val="single"/>
        </w:rPr>
        <w:t xml:space="preserve"> 30 </w:t>
      </w:r>
      <w:r>
        <w:rPr>
          <w:rFonts w:hint="eastAsia" w:ascii="宋体" w:hAnsi="宋体" w:eastAsia="宋体" w:cs="宋体"/>
          <w:sz w:val="24"/>
          <w:szCs w:val="24"/>
        </w:rPr>
        <w:t>日历天。自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日起，至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日止，在此期限内，甲方按照合同要求对所有货物逐项进行验收，如有任何不满足项可责成乙方在三日内整改；整个项目逾期未完成或未按期整改到位的均视为违约。</w:t>
      </w:r>
    </w:p>
    <w:p w14:paraId="6662E0F5">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2、交货方式：</w:t>
      </w:r>
      <w:r>
        <w:rPr>
          <w:rFonts w:hint="eastAsia" w:ascii="宋体" w:hAnsi="宋体" w:eastAsia="宋体" w:cs="宋体"/>
          <w:sz w:val="24"/>
          <w:szCs w:val="24"/>
          <w:lang w:eastAsia="zh-CN"/>
        </w:rPr>
        <w:t>全部货物到现场安装调试完毕并经验收合格后交付给甲方，并经甲方签字确认</w:t>
      </w:r>
      <w:r>
        <w:rPr>
          <w:rFonts w:hint="eastAsia" w:ascii="宋体" w:hAnsi="宋体" w:eastAsia="宋体" w:cs="宋体"/>
          <w:sz w:val="24"/>
          <w:szCs w:val="24"/>
        </w:rPr>
        <w:t>。</w:t>
      </w:r>
    </w:p>
    <w:p w14:paraId="1610C44E">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3、交货地点：甲方指定地点。</w:t>
      </w:r>
    </w:p>
    <w:p w14:paraId="6D161EFB">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rPr>
        <w:t>4、保证货物使用及维修所需的全套技术资料和文件，至少应包括以下内容：货物清单；出厂合格证；操作的标识和中文标注；使用中文说明书；使用维修保养中文说明书</w:t>
      </w:r>
      <w:r>
        <w:rPr>
          <w:rFonts w:hint="eastAsia" w:hAnsi="宋体" w:eastAsia="宋体" w:cs="宋体"/>
          <w:sz w:val="24"/>
          <w:szCs w:val="24"/>
          <w:lang w:eastAsia="zh-CN"/>
        </w:rPr>
        <w:t>。</w:t>
      </w:r>
    </w:p>
    <w:p w14:paraId="27747E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5、其他必备材料和必备工具、货物等。</w:t>
      </w:r>
    </w:p>
    <w:p w14:paraId="6808A75F">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0"/>
        <w:rPr>
          <w:rFonts w:hint="eastAsia" w:ascii="宋体" w:hAnsi="宋体" w:eastAsia="宋体" w:cs="宋体"/>
          <w:b/>
          <w:bCs/>
          <w:sz w:val="24"/>
          <w:szCs w:val="24"/>
        </w:rPr>
      </w:pPr>
      <w:r>
        <w:rPr>
          <w:rFonts w:hint="eastAsia" w:ascii="宋体" w:hAnsi="宋体" w:eastAsia="宋体" w:cs="宋体"/>
          <w:b/>
          <w:bCs/>
          <w:sz w:val="24"/>
          <w:szCs w:val="24"/>
        </w:rPr>
        <w:t>十一、付款方式及结算方式：</w:t>
      </w:r>
    </w:p>
    <w:p w14:paraId="6EAC93F6">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0"/>
        <w:rPr>
          <w:rFonts w:hint="eastAsia" w:ascii="宋体" w:hAnsi="宋体" w:eastAsia="宋体" w:cs="宋体"/>
          <w:b/>
          <w:bCs/>
          <w:sz w:val="24"/>
          <w:szCs w:val="24"/>
        </w:rPr>
      </w:pPr>
      <w:r>
        <w:rPr>
          <w:rFonts w:hint="eastAsia" w:ascii="宋体" w:hAnsi="宋体" w:eastAsia="宋体" w:cs="宋体"/>
          <w:b/>
          <w:bCs/>
          <w:sz w:val="24"/>
          <w:szCs w:val="24"/>
        </w:rPr>
        <w:t>付款方式：</w:t>
      </w:r>
      <w:r>
        <w:rPr>
          <w:rFonts w:hint="eastAsia" w:ascii="宋体" w:hAnsi="宋体" w:eastAsia="宋体" w:cs="宋体"/>
          <w:b/>
          <w:bCs/>
          <w:sz w:val="24"/>
          <w:szCs w:val="24"/>
          <w:lang w:eastAsia="zh-CN"/>
        </w:rPr>
        <w:t>本项目预付款为合同价的30%，在签订合同时，乙方明确书面表示无需预付款或者主动要求降低预付款比例的，甲方可就预付款比例作相应调整。货物安装调试完成并经甲方验收合格后付至合同价款的50%，验收合格满一年后付至合同价款的90%，余款待验收合格满四年后付清。（第一次付款时乙方须提供合法有效的全额税务发票。甲方收到乙方发票按合同支付方式支付）。</w:t>
      </w:r>
    </w:p>
    <w:p w14:paraId="05A939CD">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0"/>
        <w:rPr>
          <w:rFonts w:hint="eastAsia" w:ascii="宋体" w:hAnsi="宋体" w:eastAsia="宋体" w:cs="宋体"/>
          <w:b/>
          <w:bCs/>
          <w:sz w:val="24"/>
          <w:szCs w:val="24"/>
        </w:rPr>
      </w:pPr>
      <w:r>
        <w:rPr>
          <w:rFonts w:hint="eastAsia" w:ascii="宋体" w:hAnsi="宋体" w:eastAsia="宋体" w:cs="宋体"/>
          <w:b/>
          <w:bCs/>
          <w:sz w:val="24"/>
          <w:szCs w:val="24"/>
        </w:rPr>
        <w:t>结算方式：结算价=中标单价*实际采购货物数量。</w:t>
      </w:r>
    </w:p>
    <w:p w14:paraId="63D68CD2">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0"/>
        <w:rPr>
          <w:rFonts w:hint="eastAsia" w:ascii="宋体" w:hAnsi="宋体" w:eastAsia="宋体" w:cs="宋体"/>
          <w:b/>
          <w:bCs/>
          <w:sz w:val="24"/>
          <w:szCs w:val="24"/>
        </w:rPr>
      </w:pPr>
      <w:r>
        <w:rPr>
          <w:rFonts w:hint="eastAsia" w:ascii="宋体" w:hAnsi="宋体" w:eastAsia="宋体" w:cs="宋体"/>
          <w:b/>
          <w:bCs/>
          <w:sz w:val="24"/>
          <w:szCs w:val="24"/>
        </w:rPr>
        <w:t>十二、税费</w:t>
      </w:r>
    </w:p>
    <w:p w14:paraId="6085566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本合同执行中相关的一切税费均由乙方负担。</w:t>
      </w:r>
    </w:p>
    <w:p w14:paraId="7728085F">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0"/>
        <w:rPr>
          <w:rFonts w:hint="eastAsia" w:ascii="宋体" w:hAnsi="宋体" w:eastAsia="宋体" w:cs="宋体"/>
          <w:b/>
          <w:bCs/>
          <w:sz w:val="24"/>
          <w:szCs w:val="24"/>
        </w:rPr>
      </w:pPr>
      <w:r>
        <w:rPr>
          <w:rFonts w:hint="eastAsia" w:ascii="宋体" w:hAnsi="宋体" w:eastAsia="宋体" w:cs="宋体"/>
          <w:b/>
          <w:bCs/>
          <w:sz w:val="24"/>
          <w:szCs w:val="24"/>
        </w:rPr>
        <w:t>十三、质量保证及售后服务</w:t>
      </w:r>
    </w:p>
    <w:p w14:paraId="67834248">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保修范围包括合同中所有配置。并确保设备保修期内开机率≥95%，如设备故障停机率超过5%（一年按365天计算，每年18天），逾期修复设备的，每超过一天，保修期延长7天，甲方有权扣减500元/天，不足一天按一天计。</w:t>
      </w:r>
    </w:p>
    <w:p w14:paraId="2211D276">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如设备发生故障，乙方在接到甲方报修电话后30分钟响应，12小时赶到现场，24小时内修复或提供备用机，否则甲方可自行采取必要的措施，由此产生的风险和费用由乙方承担。如有特殊情况，乙方应立即电话通知甲方不能响应的原因，在获得甲方同意后，才可推迟响应时间。</w:t>
      </w:r>
    </w:p>
    <w:p w14:paraId="70205C72">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3、保修期内每年</w:t>
      </w:r>
      <w:r>
        <w:rPr>
          <w:rFonts w:hint="eastAsia" w:ascii="宋体" w:hAnsi="宋体" w:eastAsia="宋体" w:cs="宋体"/>
          <w:sz w:val="24"/>
          <w:szCs w:val="24"/>
          <w:lang w:val="en-US" w:eastAsia="zh-CN"/>
        </w:rPr>
        <w:t>4</w:t>
      </w:r>
      <w:r>
        <w:rPr>
          <w:rFonts w:hint="eastAsia" w:ascii="宋体" w:hAnsi="宋体" w:eastAsia="宋体" w:cs="宋体"/>
          <w:sz w:val="24"/>
          <w:szCs w:val="24"/>
        </w:rPr>
        <w:t>次定期维护，并经甲方签字确认，留档备查。</w:t>
      </w:r>
    </w:p>
    <w:p w14:paraId="6D00D427">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无论在保修期内还是保修期外，乙方必须上门维修，乙方工程师至甲方维修本设备，必须事先与甲方医疗器械科取得联系，并做相应登记；在维修过程中与甲方工程师共同完成维修工作。否则引起的一切责任由乙方负责。</w:t>
      </w:r>
    </w:p>
    <w:p w14:paraId="57A62E28">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5．如设备软件升级，乙方负责免费软件升级，保证软件为最新、最高版本。</w:t>
      </w:r>
    </w:p>
    <w:p w14:paraId="5DDB6C52">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6．如有设备具有远程维修诊断功能，乙方负责免费为甲方安装。</w:t>
      </w:r>
    </w:p>
    <w:p w14:paraId="58DAEEF8">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7.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p>
    <w:p w14:paraId="39B2289E">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8．如乙方提供的设备设有维修软件密码，乙方保证无条件地为甲方永久免费打开。</w:t>
      </w:r>
    </w:p>
    <w:p w14:paraId="4F03EC4D">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9、如在质保期内使用过程中发生质量问题，凡属一切自身质量缺陷所造成运行故障均免费维修或免费更换。</w:t>
      </w:r>
    </w:p>
    <w:p w14:paraId="6E9BC187">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10、本项目质保期为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年（根据投标人承诺时间），质保期自项目验收合格之日起计算。</w:t>
      </w:r>
    </w:p>
    <w:p w14:paraId="697A9178">
      <w:pPr>
        <w:spacing w:line="400" w:lineRule="exact"/>
        <w:ind w:firstLine="482"/>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十四、违约责任</w:t>
      </w:r>
    </w:p>
    <w:p w14:paraId="1B4BD61F">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1、按该项目供货期要求,乙方逾期交付</w:t>
      </w:r>
      <w:r>
        <w:rPr>
          <w:rFonts w:hint="eastAsia" w:ascii="宋体" w:hAnsi="宋体" w:eastAsia="宋体" w:cs="宋体"/>
          <w:sz w:val="24"/>
          <w:szCs w:val="24"/>
          <w:lang w:eastAsia="zh-CN"/>
        </w:rPr>
        <w:t>的</w:t>
      </w:r>
      <w:r>
        <w:rPr>
          <w:rFonts w:hint="eastAsia" w:ascii="宋体" w:hAnsi="宋体" w:eastAsia="宋体" w:cs="宋体"/>
          <w:sz w:val="24"/>
          <w:szCs w:val="24"/>
        </w:rPr>
        <w:t>，</w:t>
      </w:r>
      <w:r>
        <w:rPr>
          <w:rFonts w:hint="eastAsia" w:ascii="宋体" w:hAnsi="宋体" w:eastAsia="宋体" w:cs="宋体"/>
          <w:sz w:val="24"/>
          <w:szCs w:val="24"/>
          <w:lang w:val="en-US" w:eastAsia="zh-CN"/>
        </w:rPr>
        <w:t>甲方将扣除履约保证金</w:t>
      </w:r>
      <w:r>
        <w:rPr>
          <w:rFonts w:hint="eastAsia" w:ascii="宋体" w:hAnsi="宋体" w:eastAsia="宋体" w:cs="宋体"/>
          <w:sz w:val="24"/>
          <w:szCs w:val="24"/>
        </w:rPr>
        <w:t>，逾期超过约定供货期10个工作日不能交货的，甲方有权单方解除合同且无须向乙方承担任何责任。乙方因逾期交货或因其他违约行为导致甲方解除合同的，乙方应向甲方支付该合同总值</w:t>
      </w:r>
      <w:r>
        <w:rPr>
          <w:rFonts w:hint="eastAsia" w:ascii="宋体" w:hAnsi="宋体" w:eastAsia="宋体" w:cs="宋体"/>
          <w:sz w:val="24"/>
          <w:szCs w:val="24"/>
          <w:lang w:val="en-US" w:eastAsia="zh-CN"/>
        </w:rPr>
        <w:t>30</w:t>
      </w:r>
      <w:r>
        <w:rPr>
          <w:rFonts w:hint="eastAsia" w:ascii="宋体" w:hAnsi="宋体" w:eastAsia="宋体" w:cs="宋体"/>
          <w:sz w:val="24"/>
          <w:szCs w:val="24"/>
        </w:rPr>
        <w:t>%的违约金，如造成甲方损失超过违约金的，超出部分由乙方继续赔偿。</w:t>
      </w:r>
    </w:p>
    <w:p w14:paraId="5F4A6980">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乙方所交付的货物品种、型号、规格、技术参数、质量不符合合同规定及招标文件规定标准的，甲方有权拒收该批货物并可单方面解除合同，同时扣除履约保证金。乙方如有虚假响应、以次充好等行为，甲方有权将该单位移送相关主管部门处理，同时乙方应向甲方支付不少于合同总价30%的赔偿金。</w:t>
      </w:r>
    </w:p>
    <w:p w14:paraId="490B0ADE">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乙方在供货期间如发生安全事故，一切经济责任和法律责任皆由乙方承担。</w:t>
      </w:r>
    </w:p>
    <w:p w14:paraId="655D2DD5">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、在合同履行过程中若有一方违反本合同约定，违约方除承担违约责任赔偿外，还需承担守约方维权产生的费用包括但不限于诉讼费、保全费、保全保险费、律师费等一切费用。</w:t>
      </w:r>
    </w:p>
    <w:p w14:paraId="1E73AFD9">
      <w:pPr>
        <w:spacing w:line="400" w:lineRule="exact"/>
        <w:ind w:firstLine="482"/>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十五、不可抗力事件处理</w:t>
      </w:r>
    </w:p>
    <w:p w14:paraId="447B5221">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p>
    <w:p w14:paraId="0683D755">
      <w:pPr>
        <w:spacing w:line="400" w:lineRule="exact"/>
        <w:ind w:firstLine="482"/>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十六、争议解决</w:t>
      </w:r>
    </w:p>
    <w:p w14:paraId="0DB014B3">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双方在执行合同中所发生的一切争议，应通过协商解决。如协商不成，甲乙双方均有权向甲方所在地盐城市大丰区人民法院提起诉讼。</w:t>
      </w:r>
    </w:p>
    <w:p w14:paraId="0EA3B68A">
      <w:pPr>
        <w:spacing w:line="400" w:lineRule="exact"/>
        <w:ind w:firstLine="482"/>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十七、合同生效及其他</w:t>
      </w:r>
    </w:p>
    <w:p w14:paraId="401B00F5">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1、合同经双方法定代表人或授权代表签字并加盖单位公章后生效。</w:t>
      </w:r>
    </w:p>
    <w:p w14:paraId="5AF8C497">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2、甲方保留适度调整采购需求的权利，本项目最终按实际到场货物数量、乙方的投标单价结算。</w:t>
      </w:r>
    </w:p>
    <w:p w14:paraId="60289A21">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3、本合同未尽事宜，遵照《中华人民共和国民法典》有关条文执行。</w:t>
      </w:r>
    </w:p>
    <w:p w14:paraId="7EA39B6E">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4、本合同正本一式陆份，具有同等法律效力，甲乙双方各执</w:t>
      </w:r>
      <w:r>
        <w:rPr>
          <w:rFonts w:hint="eastAsia" w:ascii="宋体" w:hAnsi="宋体" w:eastAsia="宋体" w:cs="宋体"/>
          <w:sz w:val="24"/>
          <w:szCs w:val="24"/>
          <w:lang w:val="en-US" w:eastAsia="zh-CN"/>
        </w:rPr>
        <w:t>贰</w:t>
      </w:r>
      <w:r>
        <w:rPr>
          <w:rFonts w:hint="eastAsia" w:ascii="宋体" w:hAnsi="宋体" w:eastAsia="宋体" w:cs="宋体"/>
          <w:sz w:val="24"/>
          <w:szCs w:val="24"/>
        </w:rPr>
        <w:t>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其余贰</w:t>
      </w:r>
      <w:r>
        <w:rPr>
          <w:rFonts w:hint="eastAsia" w:ascii="宋体" w:hAnsi="宋体" w:eastAsia="宋体" w:cs="宋体"/>
          <w:sz w:val="24"/>
          <w:szCs w:val="24"/>
        </w:rPr>
        <w:t>份</w:t>
      </w:r>
      <w:r>
        <w:rPr>
          <w:rFonts w:hint="eastAsia" w:ascii="宋体" w:hAnsi="宋体" w:eastAsia="宋体" w:cs="宋体"/>
          <w:sz w:val="24"/>
          <w:szCs w:val="24"/>
          <w:lang w:val="en-US" w:eastAsia="zh-CN"/>
        </w:rPr>
        <w:t>用于资料装订</w:t>
      </w:r>
      <w:r>
        <w:rPr>
          <w:rFonts w:hint="eastAsia" w:ascii="宋体" w:hAnsi="宋体" w:eastAsia="宋体" w:cs="宋体"/>
          <w:sz w:val="24"/>
          <w:szCs w:val="24"/>
        </w:rPr>
        <w:t>。</w:t>
      </w:r>
    </w:p>
    <w:p w14:paraId="23C9D0F1">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p>
    <w:p w14:paraId="5C043EE6">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p>
    <w:p w14:paraId="30D2F9E1">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甲方：                                   乙方： </w:t>
      </w:r>
    </w:p>
    <w:p w14:paraId="2936A957">
      <w:pPr>
        <w:pStyle w:val="9"/>
        <w:keepNext w:val="0"/>
        <w:keepLines w:val="0"/>
        <w:pageBreakBefore w:val="0"/>
        <w:widowControl w:val="0"/>
        <w:tabs>
          <w:tab w:val="left" w:pos="4962"/>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法定（授权）代表人：                     法定（授权）代表人：</w:t>
      </w:r>
    </w:p>
    <w:p w14:paraId="37142071">
      <w:pPr>
        <w:pStyle w:val="9"/>
        <w:keepNext w:val="0"/>
        <w:keepLines w:val="0"/>
        <w:pageBreakBefore w:val="0"/>
        <w:widowControl w:val="0"/>
        <w:tabs>
          <w:tab w:val="left" w:pos="4962"/>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签字日期：      年  月  日               签字日期：      年  月  日</w:t>
      </w:r>
    </w:p>
    <w:p w14:paraId="3FABBB0D">
      <w:pPr>
        <w:pStyle w:val="9"/>
        <w:spacing w:after="120"/>
        <w:jc w:val="center"/>
        <w:rPr>
          <w:rFonts w:hint="eastAsia" w:hAnsi="宋体"/>
          <w:b/>
          <w:sz w:val="44"/>
          <w:szCs w:val="44"/>
        </w:rPr>
      </w:pPr>
    </w:p>
    <w:p w14:paraId="0579C512">
      <w:pPr>
        <w:pStyle w:val="9"/>
        <w:spacing w:after="120"/>
        <w:jc w:val="center"/>
        <w:rPr>
          <w:rFonts w:hint="eastAsia" w:hAnsi="宋体"/>
          <w:b/>
          <w:sz w:val="44"/>
          <w:szCs w:val="44"/>
        </w:rPr>
      </w:pPr>
    </w:p>
    <w:p w14:paraId="4517111B">
      <w:pPr>
        <w:pStyle w:val="9"/>
        <w:spacing w:after="120"/>
        <w:jc w:val="center"/>
        <w:rPr>
          <w:rFonts w:hint="eastAsia" w:hAnsi="宋体"/>
          <w:b/>
          <w:sz w:val="44"/>
          <w:szCs w:val="44"/>
        </w:rPr>
      </w:pPr>
    </w:p>
    <w:p w14:paraId="047667EF">
      <w:pPr>
        <w:pStyle w:val="9"/>
        <w:spacing w:after="120"/>
        <w:jc w:val="center"/>
        <w:rPr>
          <w:rFonts w:hint="eastAsia" w:hAnsi="宋体"/>
          <w:b/>
          <w:sz w:val="44"/>
          <w:szCs w:val="44"/>
        </w:rPr>
      </w:pPr>
    </w:p>
    <w:p w14:paraId="25C30ACC">
      <w:pPr>
        <w:pStyle w:val="9"/>
        <w:spacing w:after="120"/>
        <w:jc w:val="both"/>
        <w:rPr>
          <w:rFonts w:hint="eastAsia" w:hAnsi="宋体"/>
          <w:b/>
          <w:sz w:val="44"/>
          <w:szCs w:val="44"/>
        </w:rPr>
      </w:pPr>
    </w:p>
    <w:p w14:paraId="02BFCC39">
      <w:pPr>
        <w:pStyle w:val="9"/>
        <w:spacing w:after="120"/>
        <w:jc w:val="center"/>
        <w:rPr>
          <w:rFonts w:hAnsi="宋体"/>
          <w:b/>
          <w:sz w:val="44"/>
          <w:szCs w:val="44"/>
        </w:rPr>
      </w:pPr>
      <w:r>
        <w:rPr>
          <w:rFonts w:hint="eastAsia" w:hAnsi="宋体"/>
          <w:b/>
          <w:sz w:val="44"/>
          <w:szCs w:val="44"/>
        </w:rPr>
        <w:t>廉 政 合 同</w:t>
      </w:r>
    </w:p>
    <w:p w14:paraId="1DAABE0E">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甲方：</w:t>
      </w:r>
      <w:r>
        <w:rPr>
          <w:rFonts w:hint="eastAsia" w:ascii="宋体" w:hAnsi="宋体" w:eastAsia="宋体" w:cs="宋体"/>
          <w:sz w:val="24"/>
          <w:szCs w:val="24"/>
          <w:u w:val="single"/>
        </w:rPr>
        <w:t>盐城市大丰中医院（盐城市大丰区老年医院）</w:t>
      </w:r>
    </w:p>
    <w:p w14:paraId="5585F84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乙方： </w:t>
      </w:r>
      <w:r>
        <w:rPr>
          <w:rFonts w:hint="eastAsia" w:ascii="宋体" w:hAnsi="宋体" w:eastAsia="宋体" w:cs="宋体"/>
          <w:sz w:val="24"/>
          <w:szCs w:val="24"/>
          <w:u w:val="single"/>
          <w:lang w:val="en-US" w:eastAsia="zh-CN"/>
        </w:rPr>
        <w:t xml:space="preserve">                                      </w:t>
      </w:r>
    </w:p>
    <w:p w14:paraId="447CE1CF">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为强化抓源治本工作力度，从制度机制上进一步规范</w:t>
      </w:r>
      <w:r>
        <w:rPr>
          <w:rFonts w:hint="eastAsia" w:ascii="宋体" w:hAnsi="宋体" w:eastAsia="宋体" w:cs="宋体"/>
          <w:sz w:val="24"/>
          <w:szCs w:val="24"/>
          <w:u w:val="single"/>
        </w:rPr>
        <w:t xml:space="preserve">                       </w:t>
      </w:r>
      <w:r>
        <w:rPr>
          <w:rFonts w:hint="eastAsia" w:ascii="宋体" w:hAnsi="宋体" w:eastAsia="宋体" w:cs="宋体"/>
          <w:sz w:val="24"/>
          <w:szCs w:val="24"/>
        </w:rPr>
        <w:t>采购行为，杜绝不廉洁行为，特订立本合同，双方遵照执行。</w:t>
      </w:r>
    </w:p>
    <w:p w14:paraId="60197DFF">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1、甲方、乙方双方必须严格遵守国家法律、法规、政策及各项廉政规定，恪守职业道德规范。</w:t>
      </w:r>
    </w:p>
    <w:p w14:paraId="67CF038A">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2、甲方、乙方双方在具体项目采购行为中，必须严格遵守招投标法规定的原则、方式、程序，保证公平、公正、公开。</w:t>
      </w:r>
    </w:p>
    <w:p w14:paraId="19CBC88A">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3、甲方、乙方双方不得相互串通，损害国家利益、社会公共利益及其他当事人的合法权益。</w:t>
      </w:r>
    </w:p>
    <w:p w14:paraId="01A1AC6D">
      <w:pPr>
        <w:pStyle w:val="9"/>
        <w:pageBreakBefore w:val="0"/>
        <w:widowControl w:val="0"/>
        <w:kinsoku/>
        <w:wordWrap/>
        <w:overflowPunct/>
        <w:topLinePunct w:val="0"/>
        <w:autoSpaceDE/>
        <w:autoSpaceDN/>
        <w:bidi w:val="0"/>
        <w:adjustRightInd/>
        <w:snapToGrid/>
        <w:spacing w:line="360" w:lineRule="auto"/>
        <w:ind w:firstLine="210"/>
        <w:jc w:val="left"/>
        <w:textAlignment w:val="auto"/>
        <w:rPr>
          <w:rFonts w:hint="eastAsia" w:ascii="宋体" w:hAnsi="宋体" w:eastAsia="宋体" w:cs="宋体"/>
          <w:sz w:val="24"/>
          <w:szCs w:val="24"/>
        </w:rPr>
      </w:pPr>
      <w:r>
        <w:rPr>
          <w:rFonts w:hint="eastAsia" w:ascii="宋体" w:hAnsi="宋体" w:eastAsia="宋体" w:cs="宋体"/>
          <w:sz w:val="24"/>
          <w:szCs w:val="24"/>
        </w:rPr>
        <w:t>　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26A2FA60">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06B711A3">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6、甲方工作人员及其配偶、子女不得以打“业务牌”等形式变相接受乙方的钱物；乙方不得以打“业务牌”的形式向甲方工作人员及其配偶、子女变相送钱物。</w:t>
      </w:r>
    </w:p>
    <w:p w14:paraId="0486A222">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7、甲方工作人员及其配偶、子女不得在乙方报销应由个人支付的费用或领取报酬；乙方不得为甲方工作人员及其配偶、子女报销应由个人支付的费用或发放报酬。</w:t>
      </w:r>
    </w:p>
    <w:p w14:paraId="57CEABCE">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违约责任：</w:t>
      </w:r>
    </w:p>
    <w:p w14:paraId="4A52958E">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1、甲方发生违约行为，一经查实将视情节轻重对直接责任人进行严肃处理并追究主管人员的责任。</w:t>
      </w:r>
    </w:p>
    <w:p w14:paraId="6F63E1E9">
      <w:pPr>
        <w:pStyle w:val="9"/>
        <w:pageBreakBefore w:val="0"/>
        <w:widowControl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rPr>
        <w:t>2、乙方发生违约行为，甲方有权解除合同，并将其列入“黑名单”在一定范围内公布，三年内不得参加辖区内的项目采购。　</w:t>
      </w:r>
    </w:p>
    <w:p w14:paraId="2E3F59E9">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 xml:space="preserve">甲方：                                   乙方： </w:t>
      </w:r>
    </w:p>
    <w:p w14:paraId="602545F1">
      <w:pPr>
        <w:pageBreakBefore w:val="0"/>
        <w:widowControl w:val="0"/>
        <w:tabs>
          <w:tab w:val="left" w:pos="4962"/>
        </w:tabs>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法定（授权）代表人：                     法定（授权）代表人：</w:t>
      </w:r>
    </w:p>
    <w:p w14:paraId="553392A5">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签字日期：      年  月  日               签字日期：      年  月  日</w:t>
      </w:r>
    </w:p>
    <w:p w14:paraId="3DFA02A6">
      <w:pPr>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ascii="黑体" w:hAnsi="华文中宋" w:eastAsia="黑体"/>
          <w:sz w:val="24"/>
          <w:highlight w:val="none"/>
        </w:rPr>
      </w:pPr>
      <w:r>
        <w:rPr>
          <w:rFonts w:hint="eastAsia" w:ascii="宋体" w:hAnsi="宋体" w:eastAsia="宋体" w:cs="宋体"/>
          <w:sz w:val="24"/>
          <w:szCs w:val="24"/>
          <w:highlight w:val="none"/>
        </w:rPr>
        <w:br w:type="page" w:clear="all"/>
      </w:r>
    </w:p>
    <w:bookmarkEnd w:id="162"/>
    <w:p w14:paraId="76FE3992">
      <w:pPr>
        <w:jc w:val="center"/>
        <w:rPr>
          <w:rFonts w:ascii="宋体" w:hAnsi="宋体"/>
          <w:color w:val="000000"/>
          <w:sz w:val="36"/>
        </w:rPr>
      </w:pPr>
      <w:bookmarkStart w:id="163" w:name="MOFFICE_OUTDOC_NTDOC__TITLE"/>
      <w:r>
        <w:rPr>
          <w:rFonts w:ascii="宋体" w:hAnsi="宋体"/>
          <w:color w:val="000000"/>
          <w:sz w:val="36"/>
        </w:rPr>
        <w:t>政府采购合同履约验收书</w:t>
      </w:r>
    </w:p>
    <w:p w14:paraId="2F32EED1">
      <w:pPr>
        <w:spacing w:line="560" w:lineRule="exact"/>
        <w:ind w:firstLine="480"/>
        <w:jc w:val="left"/>
        <w:rPr>
          <w:rFonts w:ascii="宋体" w:hAnsi="宋体"/>
          <w:color w:val="505050"/>
          <w:sz w:val="24"/>
        </w:rPr>
      </w:pPr>
      <w:r>
        <w:rPr>
          <w:rFonts w:ascii="宋体" w:hAnsi="宋体"/>
          <w:color w:val="000000"/>
          <w:sz w:val="24"/>
        </w:rPr>
        <w:t>根据政府采购合同（编号：</w:t>
      </w:r>
      <w:r>
        <w:rPr>
          <w:rFonts w:ascii="宋体" w:hAnsi="宋体"/>
          <w:color w:val="000000"/>
          <w:sz w:val="24"/>
          <w:u w:val="single"/>
        </w:rPr>
        <w:t xml:space="preserve">          </w:t>
      </w:r>
      <w:r>
        <w:rPr>
          <w:rFonts w:ascii="宋体" w:hAnsi="宋体"/>
          <w:color w:val="000000"/>
          <w:sz w:val="24"/>
        </w:rPr>
        <w:t>）的约定，我单位组织对</w:t>
      </w:r>
      <w:r>
        <w:rPr>
          <w:rFonts w:ascii="宋体" w:hAnsi="宋体"/>
          <w:color w:val="000000"/>
          <w:sz w:val="24"/>
          <w:u w:val="single"/>
        </w:rPr>
        <w:t>（项目名称）</w:t>
      </w:r>
      <w:r>
        <w:rPr>
          <w:rFonts w:ascii="宋体" w:hAnsi="宋体"/>
          <w:color w:val="000000"/>
          <w:sz w:val="24"/>
        </w:rPr>
        <w:t>项目中标（成交）供应商</w:t>
      </w:r>
      <w:r>
        <w:rPr>
          <w:rFonts w:ascii="宋体" w:hAnsi="宋体"/>
          <w:color w:val="000000"/>
          <w:sz w:val="24"/>
          <w:u w:val="single"/>
        </w:rPr>
        <w:t>（公司名称）</w:t>
      </w:r>
      <w:r>
        <w:rPr>
          <w:rFonts w:ascii="宋体" w:hAnsi="宋体"/>
          <w:color w:val="000000"/>
          <w:sz w:val="24"/>
        </w:rPr>
        <w:t>提供的货物（工程、服务）进行了履约验收，验收情况如下：</w:t>
      </w:r>
    </w:p>
    <w:bookmarkEnd w:id="163"/>
    <w:tbl>
      <w:tblPr>
        <w:tblStyle w:val="14"/>
        <w:tblW w:w="9750" w:type="dxa"/>
        <w:jc w:val="center"/>
        <w:tblLayout w:type="fixed"/>
        <w:tblCellMar>
          <w:top w:w="0" w:type="dxa"/>
          <w:left w:w="108" w:type="dxa"/>
          <w:bottom w:w="0" w:type="dxa"/>
          <w:right w:w="108" w:type="dxa"/>
        </w:tblCellMar>
      </w:tblPr>
      <w:tblGrid>
        <w:gridCol w:w="1712"/>
        <w:gridCol w:w="2719"/>
        <w:gridCol w:w="1750"/>
        <w:gridCol w:w="3569"/>
      </w:tblGrid>
      <w:tr w14:paraId="45E10F24">
        <w:tblPrEx>
          <w:tblCellMar>
            <w:top w:w="0" w:type="dxa"/>
            <w:left w:w="108" w:type="dxa"/>
            <w:bottom w:w="0" w:type="dxa"/>
            <w:right w:w="108" w:type="dxa"/>
          </w:tblCellMar>
        </w:tblPrEx>
        <w:trPr>
          <w:trHeight w:val="855" w:hRule="atLeast"/>
          <w:jc w:val="center"/>
        </w:trPr>
        <w:tc>
          <w:tcPr>
            <w:tcW w:w="1712" w:type="dxa"/>
            <w:tcBorders>
              <w:top w:val="single" w:color="000000" w:sz="8" w:space="0"/>
              <w:left w:val="single" w:color="000000" w:sz="8" w:space="0"/>
              <w:bottom w:val="single" w:color="000000" w:sz="4" w:space="0"/>
              <w:right w:val="single" w:color="000000" w:sz="4" w:space="0"/>
            </w:tcBorders>
            <w:noWrap w:val="0"/>
            <w:vAlign w:val="center"/>
          </w:tcPr>
          <w:p w14:paraId="5EAF7F04">
            <w:pPr>
              <w:spacing w:line="360" w:lineRule="exact"/>
              <w:jc w:val="center"/>
              <w:rPr>
                <w:rFonts w:ascii="宋体" w:hAnsi="宋体"/>
                <w:color w:val="000000"/>
                <w:sz w:val="24"/>
              </w:rPr>
            </w:pPr>
            <w:r>
              <w:rPr>
                <w:rFonts w:ascii="宋体" w:hAnsi="宋体"/>
                <w:color w:val="000000"/>
                <w:sz w:val="24"/>
              </w:rPr>
              <w:t>项目名称</w:t>
            </w:r>
          </w:p>
        </w:tc>
        <w:tc>
          <w:tcPr>
            <w:tcW w:w="2719" w:type="dxa"/>
            <w:tcBorders>
              <w:top w:val="single" w:color="000000" w:sz="8" w:space="0"/>
              <w:left w:val="nil"/>
              <w:bottom w:val="single" w:color="000000" w:sz="4" w:space="0"/>
              <w:right w:val="single" w:color="000000" w:sz="4" w:space="0"/>
            </w:tcBorders>
            <w:noWrap w:val="0"/>
            <w:vAlign w:val="center"/>
          </w:tcPr>
          <w:p w14:paraId="20AE7D02">
            <w:pPr>
              <w:spacing w:line="360" w:lineRule="exact"/>
              <w:jc w:val="center"/>
              <w:rPr>
                <w:rFonts w:ascii="宋体" w:hAnsi="宋体"/>
                <w:color w:val="000000"/>
                <w:sz w:val="24"/>
              </w:rPr>
            </w:pPr>
          </w:p>
        </w:tc>
        <w:tc>
          <w:tcPr>
            <w:tcW w:w="1750" w:type="dxa"/>
            <w:tcBorders>
              <w:top w:val="single" w:color="000000" w:sz="8" w:space="0"/>
              <w:left w:val="nil"/>
              <w:bottom w:val="single" w:color="000000" w:sz="4" w:space="0"/>
              <w:right w:val="single" w:color="000000" w:sz="4" w:space="0"/>
            </w:tcBorders>
            <w:noWrap w:val="0"/>
            <w:vAlign w:val="center"/>
          </w:tcPr>
          <w:p w14:paraId="6B4DE492">
            <w:pPr>
              <w:spacing w:line="360" w:lineRule="exact"/>
              <w:jc w:val="center"/>
              <w:rPr>
                <w:rFonts w:ascii="宋体" w:hAnsi="宋体"/>
                <w:color w:val="000000"/>
                <w:sz w:val="24"/>
              </w:rPr>
            </w:pPr>
            <w:r>
              <w:rPr>
                <w:rFonts w:ascii="宋体" w:hAnsi="宋体"/>
                <w:color w:val="000000"/>
                <w:sz w:val="24"/>
              </w:rPr>
              <w:t>项目地点</w:t>
            </w:r>
          </w:p>
        </w:tc>
        <w:tc>
          <w:tcPr>
            <w:tcW w:w="3569" w:type="dxa"/>
            <w:tcBorders>
              <w:top w:val="single" w:color="000000" w:sz="8" w:space="0"/>
              <w:left w:val="nil"/>
              <w:bottom w:val="single" w:color="000000" w:sz="4" w:space="0"/>
              <w:right w:val="single" w:color="000000" w:sz="8" w:space="0"/>
            </w:tcBorders>
            <w:noWrap w:val="0"/>
            <w:vAlign w:val="center"/>
          </w:tcPr>
          <w:p w14:paraId="04604BB8">
            <w:pPr>
              <w:spacing w:line="360" w:lineRule="exact"/>
              <w:jc w:val="center"/>
              <w:rPr>
                <w:rFonts w:ascii="宋体" w:hAnsi="宋体"/>
                <w:color w:val="000000"/>
                <w:sz w:val="24"/>
              </w:rPr>
            </w:pPr>
          </w:p>
        </w:tc>
      </w:tr>
      <w:tr w14:paraId="4537B9A7">
        <w:tblPrEx>
          <w:tblCellMar>
            <w:top w:w="0" w:type="dxa"/>
            <w:left w:w="108" w:type="dxa"/>
            <w:bottom w:w="0" w:type="dxa"/>
            <w:right w:w="108" w:type="dxa"/>
          </w:tblCellMar>
        </w:tblPrEx>
        <w:trPr>
          <w:trHeight w:val="855" w:hRule="atLeast"/>
          <w:jc w:val="center"/>
        </w:trPr>
        <w:tc>
          <w:tcPr>
            <w:tcW w:w="1712" w:type="dxa"/>
            <w:tcBorders>
              <w:top w:val="nil"/>
              <w:left w:val="single" w:color="000000" w:sz="8" w:space="0"/>
              <w:bottom w:val="single" w:color="000000" w:sz="4" w:space="0"/>
              <w:right w:val="single" w:color="000000" w:sz="4" w:space="0"/>
            </w:tcBorders>
            <w:noWrap w:val="0"/>
            <w:vAlign w:val="center"/>
          </w:tcPr>
          <w:p w14:paraId="46567299">
            <w:pPr>
              <w:spacing w:line="360" w:lineRule="exact"/>
              <w:jc w:val="center"/>
              <w:rPr>
                <w:rFonts w:ascii="宋体" w:hAnsi="宋体"/>
                <w:color w:val="000000"/>
                <w:sz w:val="24"/>
              </w:rPr>
            </w:pPr>
            <w:r>
              <w:rPr>
                <w:rFonts w:ascii="宋体" w:hAnsi="宋体"/>
                <w:color w:val="000000"/>
                <w:sz w:val="24"/>
              </w:rPr>
              <w:t>预算金额</w:t>
            </w:r>
          </w:p>
        </w:tc>
        <w:tc>
          <w:tcPr>
            <w:tcW w:w="2719" w:type="dxa"/>
            <w:tcBorders>
              <w:top w:val="single" w:color="000000" w:sz="4" w:space="0"/>
              <w:left w:val="nil"/>
              <w:bottom w:val="single" w:color="000000" w:sz="4" w:space="0"/>
              <w:right w:val="single" w:color="000000" w:sz="4" w:space="0"/>
            </w:tcBorders>
            <w:noWrap w:val="0"/>
            <w:vAlign w:val="center"/>
          </w:tcPr>
          <w:p w14:paraId="6AD0378D">
            <w:pPr>
              <w:spacing w:line="360" w:lineRule="exact"/>
              <w:jc w:val="center"/>
              <w:rPr>
                <w:rFonts w:ascii="宋体" w:hAnsi="宋体"/>
                <w:color w:val="000000"/>
                <w:sz w:val="24"/>
              </w:rPr>
            </w:pPr>
          </w:p>
        </w:tc>
        <w:tc>
          <w:tcPr>
            <w:tcW w:w="1750" w:type="dxa"/>
            <w:tcBorders>
              <w:top w:val="nil"/>
              <w:left w:val="nil"/>
              <w:bottom w:val="nil"/>
              <w:right w:val="nil"/>
            </w:tcBorders>
            <w:noWrap w:val="0"/>
            <w:vAlign w:val="center"/>
          </w:tcPr>
          <w:p w14:paraId="6180EBF5">
            <w:pPr>
              <w:spacing w:line="360" w:lineRule="exact"/>
              <w:jc w:val="center"/>
              <w:rPr>
                <w:rFonts w:ascii="宋体" w:hAnsi="宋体"/>
                <w:color w:val="000000"/>
                <w:sz w:val="24"/>
              </w:rPr>
            </w:pPr>
            <w:r>
              <w:rPr>
                <w:rFonts w:ascii="宋体" w:hAnsi="宋体"/>
                <w:color w:val="000000"/>
                <w:sz w:val="24"/>
              </w:rPr>
              <w:t>承接单位</w:t>
            </w:r>
          </w:p>
        </w:tc>
        <w:tc>
          <w:tcPr>
            <w:tcW w:w="3569" w:type="dxa"/>
            <w:tcBorders>
              <w:top w:val="nil"/>
              <w:left w:val="single" w:color="000000" w:sz="4" w:space="0"/>
              <w:bottom w:val="single" w:color="000000" w:sz="4" w:space="0"/>
              <w:right w:val="single" w:color="000000" w:sz="8" w:space="0"/>
            </w:tcBorders>
            <w:noWrap w:val="0"/>
            <w:vAlign w:val="center"/>
          </w:tcPr>
          <w:p w14:paraId="36D40360">
            <w:pPr>
              <w:spacing w:line="360" w:lineRule="exact"/>
              <w:jc w:val="left"/>
              <w:rPr>
                <w:rFonts w:ascii="宋体" w:hAnsi="宋体"/>
                <w:color w:val="000000"/>
                <w:sz w:val="24"/>
              </w:rPr>
            </w:pPr>
          </w:p>
        </w:tc>
      </w:tr>
      <w:tr w14:paraId="7187425F">
        <w:tblPrEx>
          <w:tblCellMar>
            <w:top w:w="0" w:type="dxa"/>
            <w:left w:w="108" w:type="dxa"/>
            <w:bottom w:w="0" w:type="dxa"/>
            <w:right w:w="108" w:type="dxa"/>
          </w:tblCellMar>
        </w:tblPrEx>
        <w:trPr>
          <w:trHeight w:val="855" w:hRule="atLeast"/>
          <w:jc w:val="center"/>
        </w:trPr>
        <w:tc>
          <w:tcPr>
            <w:tcW w:w="1712" w:type="dxa"/>
            <w:tcBorders>
              <w:top w:val="nil"/>
              <w:left w:val="single" w:color="000000" w:sz="8" w:space="0"/>
              <w:bottom w:val="single" w:color="000000" w:sz="4" w:space="0"/>
              <w:right w:val="single" w:color="000000" w:sz="4" w:space="0"/>
            </w:tcBorders>
            <w:noWrap w:val="0"/>
            <w:vAlign w:val="center"/>
          </w:tcPr>
          <w:p w14:paraId="263DE34F">
            <w:pPr>
              <w:spacing w:line="360" w:lineRule="exact"/>
              <w:jc w:val="center"/>
              <w:rPr>
                <w:rFonts w:ascii="宋体" w:hAnsi="宋体"/>
                <w:color w:val="000000"/>
                <w:sz w:val="24"/>
              </w:rPr>
            </w:pPr>
            <w:r>
              <w:rPr>
                <w:rFonts w:ascii="宋体" w:hAnsi="宋体"/>
                <w:color w:val="000000"/>
                <w:sz w:val="24"/>
              </w:rPr>
              <w:t>合同时间</w:t>
            </w:r>
          </w:p>
        </w:tc>
        <w:tc>
          <w:tcPr>
            <w:tcW w:w="2719" w:type="dxa"/>
            <w:tcBorders>
              <w:top w:val="single" w:color="000000" w:sz="4" w:space="0"/>
              <w:left w:val="nil"/>
              <w:bottom w:val="single" w:color="000000" w:sz="4" w:space="0"/>
              <w:right w:val="single" w:color="000000" w:sz="4" w:space="0"/>
            </w:tcBorders>
            <w:noWrap w:val="0"/>
            <w:vAlign w:val="center"/>
          </w:tcPr>
          <w:p w14:paraId="06AB806F">
            <w:pPr>
              <w:spacing w:line="360" w:lineRule="exact"/>
              <w:jc w:val="center"/>
              <w:rPr>
                <w:rFonts w:ascii="宋体" w:hAnsi="宋体"/>
                <w:color w:val="000000"/>
                <w:sz w:val="24"/>
              </w:rPr>
            </w:pPr>
          </w:p>
        </w:tc>
        <w:tc>
          <w:tcPr>
            <w:tcW w:w="1750" w:type="dxa"/>
            <w:tcBorders>
              <w:top w:val="single" w:color="000000" w:sz="4" w:space="0"/>
              <w:left w:val="nil"/>
              <w:bottom w:val="single" w:color="000000" w:sz="4" w:space="0"/>
              <w:right w:val="single" w:color="000000" w:sz="4" w:space="0"/>
            </w:tcBorders>
            <w:noWrap w:val="0"/>
            <w:vAlign w:val="center"/>
          </w:tcPr>
          <w:p w14:paraId="7D532373">
            <w:pPr>
              <w:spacing w:line="360" w:lineRule="exact"/>
              <w:jc w:val="center"/>
              <w:rPr>
                <w:rFonts w:ascii="宋体" w:hAnsi="宋体"/>
                <w:color w:val="000000"/>
                <w:sz w:val="24"/>
              </w:rPr>
            </w:pPr>
            <w:r>
              <w:rPr>
                <w:rFonts w:ascii="宋体" w:hAnsi="宋体"/>
                <w:color w:val="000000"/>
                <w:sz w:val="24"/>
              </w:rPr>
              <w:t>项目开始时间</w:t>
            </w:r>
          </w:p>
        </w:tc>
        <w:tc>
          <w:tcPr>
            <w:tcW w:w="3569" w:type="dxa"/>
            <w:tcBorders>
              <w:top w:val="nil"/>
              <w:left w:val="nil"/>
              <w:bottom w:val="single" w:color="000000" w:sz="4" w:space="0"/>
              <w:right w:val="single" w:color="000000" w:sz="8" w:space="0"/>
            </w:tcBorders>
            <w:noWrap w:val="0"/>
            <w:vAlign w:val="center"/>
          </w:tcPr>
          <w:p w14:paraId="389E8304">
            <w:pPr>
              <w:spacing w:line="360" w:lineRule="exact"/>
              <w:jc w:val="center"/>
              <w:rPr>
                <w:rFonts w:ascii="宋体" w:hAnsi="宋体"/>
                <w:color w:val="000000"/>
                <w:sz w:val="24"/>
              </w:rPr>
            </w:pPr>
          </w:p>
        </w:tc>
      </w:tr>
      <w:tr w14:paraId="6F692C13">
        <w:tblPrEx>
          <w:tblCellMar>
            <w:top w:w="0" w:type="dxa"/>
            <w:left w:w="108" w:type="dxa"/>
            <w:bottom w:w="0" w:type="dxa"/>
            <w:right w:w="108" w:type="dxa"/>
          </w:tblCellMar>
        </w:tblPrEx>
        <w:trPr>
          <w:trHeight w:val="855" w:hRule="atLeast"/>
          <w:jc w:val="center"/>
        </w:trPr>
        <w:tc>
          <w:tcPr>
            <w:tcW w:w="1712" w:type="dxa"/>
            <w:tcBorders>
              <w:top w:val="nil"/>
              <w:left w:val="single" w:color="000000" w:sz="8" w:space="0"/>
              <w:bottom w:val="single" w:color="000000" w:sz="4" w:space="0"/>
              <w:right w:val="single" w:color="000000" w:sz="4" w:space="0"/>
            </w:tcBorders>
            <w:noWrap w:val="0"/>
            <w:vAlign w:val="center"/>
          </w:tcPr>
          <w:p w14:paraId="55798508">
            <w:pPr>
              <w:spacing w:line="360" w:lineRule="exact"/>
              <w:jc w:val="center"/>
              <w:rPr>
                <w:rFonts w:ascii="宋体" w:hAnsi="宋体"/>
                <w:color w:val="000000"/>
                <w:sz w:val="24"/>
              </w:rPr>
            </w:pPr>
            <w:r>
              <w:rPr>
                <w:rFonts w:ascii="宋体" w:hAnsi="宋体"/>
                <w:color w:val="000000"/>
                <w:sz w:val="24"/>
              </w:rPr>
              <w:t>项目结束时间</w:t>
            </w:r>
          </w:p>
        </w:tc>
        <w:tc>
          <w:tcPr>
            <w:tcW w:w="2719" w:type="dxa"/>
            <w:tcBorders>
              <w:top w:val="single" w:color="000000" w:sz="4" w:space="0"/>
              <w:left w:val="nil"/>
              <w:bottom w:val="single" w:color="000000" w:sz="4" w:space="0"/>
              <w:right w:val="single" w:color="000000" w:sz="4" w:space="0"/>
            </w:tcBorders>
            <w:noWrap w:val="0"/>
            <w:vAlign w:val="center"/>
          </w:tcPr>
          <w:p w14:paraId="008F442E">
            <w:pPr>
              <w:spacing w:line="360" w:lineRule="exact"/>
              <w:jc w:val="center"/>
              <w:rPr>
                <w:rFonts w:ascii="宋体" w:hAnsi="宋体"/>
                <w:color w:val="000000"/>
                <w:sz w:val="24"/>
              </w:rPr>
            </w:pPr>
          </w:p>
        </w:tc>
        <w:tc>
          <w:tcPr>
            <w:tcW w:w="1750" w:type="dxa"/>
            <w:tcBorders>
              <w:top w:val="nil"/>
              <w:left w:val="nil"/>
              <w:bottom w:val="single" w:color="000000" w:sz="4" w:space="0"/>
              <w:right w:val="single" w:color="000000" w:sz="4" w:space="0"/>
            </w:tcBorders>
            <w:noWrap w:val="0"/>
            <w:vAlign w:val="center"/>
          </w:tcPr>
          <w:p w14:paraId="2D40D96C">
            <w:pPr>
              <w:spacing w:line="360" w:lineRule="exact"/>
              <w:jc w:val="center"/>
              <w:rPr>
                <w:rFonts w:ascii="宋体" w:hAnsi="宋体"/>
                <w:color w:val="000000"/>
                <w:sz w:val="24"/>
              </w:rPr>
            </w:pPr>
            <w:r>
              <w:rPr>
                <w:rFonts w:ascii="宋体" w:hAnsi="宋体"/>
                <w:color w:val="000000"/>
                <w:sz w:val="24"/>
              </w:rPr>
              <w:t>项目联系人</w:t>
            </w:r>
          </w:p>
        </w:tc>
        <w:tc>
          <w:tcPr>
            <w:tcW w:w="3569" w:type="dxa"/>
            <w:tcBorders>
              <w:top w:val="nil"/>
              <w:left w:val="nil"/>
              <w:bottom w:val="single" w:color="000000" w:sz="4" w:space="0"/>
              <w:right w:val="single" w:color="000000" w:sz="8" w:space="0"/>
            </w:tcBorders>
            <w:noWrap w:val="0"/>
            <w:vAlign w:val="center"/>
          </w:tcPr>
          <w:p w14:paraId="6D1DC434">
            <w:pPr>
              <w:spacing w:line="360" w:lineRule="exact"/>
              <w:jc w:val="center"/>
              <w:rPr>
                <w:rFonts w:ascii="宋体" w:hAnsi="宋体"/>
                <w:color w:val="000000"/>
                <w:sz w:val="24"/>
              </w:rPr>
            </w:pPr>
          </w:p>
        </w:tc>
      </w:tr>
      <w:tr w14:paraId="661A8F1C">
        <w:tblPrEx>
          <w:tblCellMar>
            <w:top w:w="0" w:type="dxa"/>
            <w:left w:w="108" w:type="dxa"/>
            <w:bottom w:w="0" w:type="dxa"/>
            <w:right w:w="108" w:type="dxa"/>
          </w:tblCellMar>
        </w:tblPrEx>
        <w:trPr>
          <w:trHeight w:val="1861" w:hRule="atLeast"/>
          <w:jc w:val="center"/>
        </w:trPr>
        <w:tc>
          <w:tcPr>
            <w:tcW w:w="9750" w:type="dxa"/>
            <w:gridSpan w:val="4"/>
            <w:tcBorders>
              <w:top w:val="single" w:color="000000" w:sz="4" w:space="0"/>
              <w:left w:val="single" w:color="000000" w:sz="8" w:space="0"/>
              <w:bottom w:val="single" w:color="000000" w:sz="4" w:space="0"/>
              <w:right w:val="single" w:color="000000" w:sz="8" w:space="0"/>
            </w:tcBorders>
            <w:noWrap w:val="0"/>
            <w:vAlign w:val="top"/>
          </w:tcPr>
          <w:p w14:paraId="40D6BA73">
            <w:pPr>
              <w:jc w:val="center"/>
              <w:rPr>
                <w:rFonts w:ascii="宋体" w:hAnsi="宋体"/>
                <w:b/>
                <w:bCs/>
                <w:color w:val="000000"/>
                <w:sz w:val="24"/>
              </w:rPr>
            </w:pPr>
            <w:r>
              <w:rPr>
                <w:rFonts w:ascii="宋体" w:hAnsi="宋体"/>
                <w:b/>
                <w:bCs/>
                <w:color w:val="000000"/>
                <w:sz w:val="24"/>
              </w:rPr>
              <w:t>验收情况和验收意见</w:t>
            </w:r>
          </w:p>
          <w:p w14:paraId="23E6B250">
            <w:pPr>
              <w:rPr>
                <w:rFonts w:ascii="宋体" w:hAnsi="宋体"/>
                <w:color w:val="000000"/>
                <w:sz w:val="24"/>
              </w:rPr>
            </w:pPr>
            <w:r>
              <w:rPr>
                <w:rFonts w:ascii="宋体" w:hAnsi="宋体"/>
                <w:color w:val="000000"/>
                <w:sz w:val="24"/>
              </w:rPr>
              <w:t>（可另附）</w:t>
            </w:r>
          </w:p>
          <w:p w14:paraId="1368FB67">
            <w:pPr>
              <w:ind w:firstLine="480"/>
              <w:rPr>
                <w:rFonts w:ascii="宋体" w:hAnsi="宋体"/>
                <w:color w:val="000000"/>
                <w:sz w:val="24"/>
              </w:rPr>
            </w:pPr>
          </w:p>
        </w:tc>
      </w:tr>
      <w:tr w14:paraId="20F5B9F6">
        <w:tblPrEx>
          <w:tblCellMar>
            <w:top w:w="0" w:type="dxa"/>
            <w:left w:w="108" w:type="dxa"/>
            <w:bottom w:w="0" w:type="dxa"/>
            <w:right w:w="108" w:type="dxa"/>
          </w:tblCellMar>
        </w:tblPrEx>
        <w:trPr>
          <w:trHeight w:val="567" w:hRule="atLeast"/>
          <w:jc w:val="center"/>
        </w:trPr>
        <w:tc>
          <w:tcPr>
            <w:tcW w:w="9750" w:type="dxa"/>
            <w:gridSpan w:val="4"/>
            <w:tcBorders>
              <w:top w:val="single" w:color="000000" w:sz="4" w:space="0"/>
              <w:left w:val="single" w:color="000000" w:sz="8" w:space="0"/>
              <w:bottom w:val="single" w:color="000000" w:sz="4" w:space="0"/>
              <w:right w:val="single" w:color="000000" w:sz="8" w:space="0"/>
            </w:tcBorders>
            <w:noWrap w:val="0"/>
            <w:vAlign w:val="top"/>
          </w:tcPr>
          <w:p w14:paraId="538403E4">
            <w:pPr>
              <w:jc w:val="left"/>
              <w:rPr>
                <w:rFonts w:ascii="宋体" w:hAnsi="宋体"/>
                <w:sz w:val="24"/>
              </w:rPr>
            </w:pPr>
            <w:r>
              <w:rPr>
                <w:rFonts w:ascii="宋体" w:hAnsi="宋体"/>
                <w:sz w:val="24"/>
              </w:rPr>
              <w:t>验收小组（签</w:t>
            </w:r>
            <w:r>
              <w:rPr>
                <w:rFonts w:hint="eastAsia" w:ascii="宋体" w:hAnsi="宋体"/>
                <w:sz w:val="24"/>
              </w:rPr>
              <w:t>名</w:t>
            </w:r>
            <w:r>
              <w:rPr>
                <w:rFonts w:ascii="宋体" w:hAnsi="宋体"/>
                <w:sz w:val="24"/>
              </w:rPr>
              <w:t>）：</w:t>
            </w:r>
          </w:p>
          <w:p w14:paraId="786E97E0">
            <w:pPr>
              <w:jc w:val="left"/>
              <w:rPr>
                <w:rFonts w:ascii="宋体" w:hAnsi="宋体"/>
                <w:color w:val="000000"/>
                <w:sz w:val="24"/>
              </w:rPr>
            </w:pPr>
          </w:p>
          <w:p w14:paraId="292B4175">
            <w:pPr>
              <w:jc w:val="left"/>
              <w:rPr>
                <w:rFonts w:ascii="宋体" w:hAnsi="宋体"/>
                <w:color w:val="000000"/>
                <w:sz w:val="24"/>
              </w:rPr>
            </w:pPr>
            <w:r>
              <w:rPr>
                <w:rFonts w:ascii="宋体" w:hAnsi="宋体"/>
                <w:color w:val="000000"/>
                <w:sz w:val="24"/>
              </w:rPr>
              <w:t>　　　　　　　                              年    月    日</w:t>
            </w:r>
          </w:p>
        </w:tc>
      </w:tr>
      <w:tr w14:paraId="6DD4745A">
        <w:tblPrEx>
          <w:tblCellMar>
            <w:top w:w="0" w:type="dxa"/>
            <w:left w:w="108" w:type="dxa"/>
            <w:bottom w:w="0" w:type="dxa"/>
            <w:right w:w="108" w:type="dxa"/>
          </w:tblCellMar>
        </w:tblPrEx>
        <w:trPr>
          <w:trHeight w:val="567" w:hRule="atLeast"/>
          <w:jc w:val="center"/>
        </w:trPr>
        <w:tc>
          <w:tcPr>
            <w:tcW w:w="9750" w:type="dxa"/>
            <w:gridSpan w:val="4"/>
            <w:tcBorders>
              <w:top w:val="single" w:color="000000" w:sz="4" w:space="0"/>
              <w:left w:val="single" w:color="000000" w:sz="8" w:space="0"/>
              <w:bottom w:val="single" w:color="000000" w:sz="4" w:space="0"/>
              <w:right w:val="single" w:color="000000" w:sz="8" w:space="0"/>
            </w:tcBorders>
            <w:noWrap w:val="0"/>
            <w:vAlign w:val="top"/>
          </w:tcPr>
          <w:p w14:paraId="5C8C688A">
            <w:pPr>
              <w:jc w:val="left"/>
              <w:rPr>
                <w:rFonts w:ascii="宋体" w:hAnsi="宋体"/>
                <w:color w:val="000000"/>
                <w:sz w:val="24"/>
              </w:rPr>
            </w:pPr>
            <w:r>
              <w:rPr>
                <w:rFonts w:ascii="宋体" w:hAnsi="宋体"/>
                <w:color w:val="000000"/>
                <w:sz w:val="24"/>
              </w:rPr>
              <w:t>供应商确认意见（签章）：</w:t>
            </w:r>
          </w:p>
          <w:p w14:paraId="4A36A647">
            <w:pPr>
              <w:jc w:val="left"/>
              <w:rPr>
                <w:rFonts w:ascii="宋体" w:hAnsi="宋体"/>
                <w:color w:val="000000"/>
                <w:sz w:val="24"/>
              </w:rPr>
            </w:pPr>
          </w:p>
          <w:p w14:paraId="68637FA3">
            <w:pPr>
              <w:jc w:val="left"/>
              <w:rPr>
                <w:rFonts w:ascii="宋体" w:hAnsi="宋体"/>
                <w:color w:val="000000"/>
                <w:sz w:val="24"/>
              </w:rPr>
            </w:pPr>
            <w:r>
              <w:rPr>
                <w:rFonts w:ascii="宋体" w:hAnsi="宋体"/>
                <w:color w:val="000000"/>
                <w:sz w:val="24"/>
              </w:rPr>
              <w:t>　　　　　　　                              年    月    日</w:t>
            </w:r>
          </w:p>
        </w:tc>
      </w:tr>
      <w:tr w14:paraId="05244DB8">
        <w:tblPrEx>
          <w:tblCellMar>
            <w:top w:w="0" w:type="dxa"/>
            <w:left w:w="108" w:type="dxa"/>
            <w:bottom w:w="0" w:type="dxa"/>
            <w:right w:w="108" w:type="dxa"/>
          </w:tblCellMar>
        </w:tblPrEx>
        <w:trPr>
          <w:trHeight w:val="567" w:hRule="atLeast"/>
          <w:jc w:val="center"/>
        </w:trPr>
        <w:tc>
          <w:tcPr>
            <w:tcW w:w="9750" w:type="dxa"/>
            <w:gridSpan w:val="4"/>
            <w:tcBorders>
              <w:top w:val="single" w:color="000000" w:sz="4" w:space="0"/>
              <w:left w:val="single" w:color="000000" w:sz="8" w:space="0"/>
              <w:bottom w:val="single" w:color="000000" w:sz="4" w:space="0"/>
              <w:right w:val="single" w:color="000000" w:sz="8" w:space="0"/>
            </w:tcBorders>
            <w:noWrap w:val="0"/>
            <w:vAlign w:val="top"/>
          </w:tcPr>
          <w:p w14:paraId="4AAEB96B">
            <w:pPr>
              <w:jc w:val="left"/>
              <w:rPr>
                <w:rFonts w:ascii="宋体" w:hAnsi="宋体"/>
                <w:color w:val="000000"/>
                <w:sz w:val="24"/>
              </w:rPr>
            </w:pPr>
            <w:r>
              <w:rPr>
                <w:rFonts w:ascii="宋体" w:hAnsi="宋体"/>
                <w:color w:val="000000"/>
                <w:sz w:val="24"/>
              </w:rPr>
              <w:t>采购人确认意见（签章）：</w:t>
            </w:r>
          </w:p>
          <w:p w14:paraId="6660C46E">
            <w:pPr>
              <w:jc w:val="left"/>
              <w:rPr>
                <w:rFonts w:ascii="宋体" w:hAnsi="宋体"/>
                <w:color w:val="000000"/>
                <w:sz w:val="24"/>
              </w:rPr>
            </w:pPr>
          </w:p>
          <w:p w14:paraId="54EF6C14">
            <w:pPr>
              <w:jc w:val="left"/>
              <w:rPr>
                <w:rFonts w:ascii="宋体" w:hAnsi="宋体"/>
                <w:color w:val="000000"/>
                <w:sz w:val="24"/>
              </w:rPr>
            </w:pPr>
            <w:r>
              <w:rPr>
                <w:rFonts w:ascii="宋体" w:hAnsi="宋体"/>
                <w:color w:val="000000"/>
                <w:sz w:val="24"/>
              </w:rPr>
              <w:t>　　　　　                              年    月    日</w:t>
            </w:r>
          </w:p>
        </w:tc>
      </w:tr>
    </w:tbl>
    <w:p w14:paraId="55C26599">
      <w:pPr>
        <w:jc w:val="left"/>
        <w:rPr>
          <w:rFonts w:hint="eastAsia" w:ascii="宋体" w:hAnsi="宋体" w:cs="宋体"/>
          <w:szCs w:val="32"/>
        </w:rPr>
      </w:pPr>
      <w:r>
        <w:rPr>
          <w:rFonts w:hint="eastAsia" w:ascii="宋体" w:hAnsi="宋体" w:cs="宋体"/>
          <w:szCs w:val="32"/>
          <w:lang w:val="en-US" w:eastAsia="zh-CN"/>
        </w:rPr>
        <w:t>注：对供应商提供的货物、工</w:t>
      </w:r>
      <w:r>
        <w:rPr>
          <w:rFonts w:hint="default" w:ascii="宋体" w:hAnsi="宋体" w:cs="宋体"/>
          <w:szCs w:val="32"/>
          <w:lang w:val="en-US" w:eastAsia="zh-CN"/>
        </w:rPr>
        <w:t>程和服务进行逐一核对、验收。对报价异常低且经评审委员会启动相关审查机制后仍中标或成交的供应商，采购人要重点关注其 履约能力、履约承诺、实际履约情况等。</w:t>
      </w:r>
    </w:p>
    <w:p w14:paraId="165FE202">
      <w:pPr>
        <w:pStyle w:val="12"/>
        <w:spacing w:before="120" w:beforeAutospacing="0" w:after="120" w:afterAutospacing="0" w:line="0" w:lineRule="atLeast"/>
        <w:jc w:val="center"/>
        <w:rPr>
          <w:rFonts w:hint="eastAsia" w:ascii="黑体" w:hAnsi="宋体" w:eastAsia="黑体" w:cs="黑体"/>
          <w:color w:val="000000"/>
          <w:sz w:val="44"/>
          <w:szCs w:val="44"/>
          <w:highlight w:val="none"/>
        </w:rPr>
      </w:pPr>
    </w:p>
    <w:p w14:paraId="27E787E5">
      <w:pPr>
        <w:pStyle w:val="12"/>
        <w:spacing w:before="120" w:beforeAutospacing="0" w:after="120" w:afterAutospacing="0" w:line="0" w:lineRule="atLeast"/>
        <w:jc w:val="center"/>
        <w:rPr>
          <w:rFonts w:hint="eastAsia" w:ascii="黑体" w:hAnsi="宋体" w:eastAsia="黑体" w:cs="黑体"/>
          <w:color w:val="000000"/>
          <w:sz w:val="44"/>
          <w:szCs w:val="44"/>
          <w:highlight w:val="none"/>
        </w:rPr>
      </w:pPr>
    </w:p>
    <w:p w14:paraId="5A15F501">
      <w:pPr>
        <w:pStyle w:val="12"/>
        <w:spacing w:before="120" w:beforeAutospacing="0" w:after="120" w:afterAutospacing="0" w:line="0" w:lineRule="atLeast"/>
        <w:jc w:val="center"/>
        <w:rPr>
          <w:rFonts w:hint="eastAsia" w:ascii="黑体" w:hAnsi="宋体" w:eastAsia="黑体" w:cs="黑体"/>
          <w:color w:val="000000"/>
          <w:sz w:val="44"/>
          <w:szCs w:val="44"/>
          <w:highlight w:val="none"/>
        </w:rPr>
      </w:pPr>
    </w:p>
    <w:p w14:paraId="0B73E88F">
      <w:pPr>
        <w:pStyle w:val="12"/>
        <w:spacing w:before="120" w:beforeAutospacing="0" w:after="120" w:afterAutospacing="0" w:line="0" w:lineRule="atLeast"/>
        <w:jc w:val="center"/>
        <w:rPr>
          <w:rFonts w:hint="eastAsia" w:ascii="黑体" w:hAnsi="宋体" w:eastAsia="黑体" w:cs="黑体"/>
          <w:color w:val="000000"/>
          <w:sz w:val="44"/>
          <w:szCs w:val="44"/>
          <w:highlight w:val="none"/>
        </w:rPr>
      </w:pPr>
    </w:p>
    <w:p w14:paraId="56A83C7A">
      <w:pPr>
        <w:pStyle w:val="12"/>
        <w:spacing w:before="120" w:beforeAutospacing="0" w:after="120" w:afterAutospacing="0" w:line="0" w:lineRule="atLeast"/>
        <w:jc w:val="both"/>
        <w:rPr>
          <w:rFonts w:hint="eastAsia" w:ascii="黑体" w:hAnsi="宋体" w:eastAsia="黑体" w:cs="黑体"/>
          <w:color w:val="000000"/>
          <w:sz w:val="44"/>
          <w:szCs w:val="44"/>
          <w:highlight w:val="none"/>
        </w:rPr>
      </w:pPr>
    </w:p>
    <w:p w14:paraId="476887B5">
      <w:pPr>
        <w:pStyle w:val="12"/>
        <w:spacing w:before="120" w:beforeAutospacing="0" w:after="120" w:afterAutospacing="0" w:line="0" w:lineRule="atLeast"/>
        <w:jc w:val="center"/>
        <w:rPr>
          <w:highlight w:val="none"/>
        </w:rPr>
      </w:pPr>
      <w:r>
        <w:rPr>
          <w:rFonts w:hint="eastAsia" w:ascii="黑体" w:hAnsi="宋体" w:eastAsia="黑体" w:cs="黑体"/>
          <w:color w:val="000000"/>
          <w:sz w:val="44"/>
          <w:szCs w:val="44"/>
          <w:highlight w:val="none"/>
        </w:rPr>
        <w:t> 第</w:t>
      </w:r>
      <w:bookmarkEnd w:id="155"/>
      <w:r>
        <w:rPr>
          <w:rFonts w:hint="eastAsia" w:ascii="黑体" w:hAnsi="宋体" w:eastAsia="黑体" w:cs="黑体"/>
          <w:color w:val="000000"/>
          <w:sz w:val="44"/>
          <w:szCs w:val="44"/>
          <w:highlight w:val="none"/>
        </w:rPr>
        <w:t xml:space="preserve">四章 </w:t>
      </w:r>
      <w:bookmarkEnd w:id="156"/>
      <w:bookmarkEnd w:id="157"/>
      <w:bookmarkEnd w:id="158"/>
      <w:bookmarkEnd w:id="159"/>
      <w:bookmarkEnd w:id="160"/>
      <w:r>
        <w:rPr>
          <w:rFonts w:hint="eastAsia" w:ascii="黑体" w:hAnsi="宋体" w:eastAsia="黑体" w:cs="黑体"/>
          <w:color w:val="000000"/>
          <w:sz w:val="44"/>
          <w:szCs w:val="44"/>
          <w:highlight w:val="none"/>
        </w:rPr>
        <w:t>采购需求</w:t>
      </w:r>
    </w:p>
    <w:p w14:paraId="3C12D44E">
      <w:pPr>
        <w:pStyle w:val="3"/>
        <w:keepNext w:val="0"/>
        <w:keepLines w:val="0"/>
        <w:pageBreakBefore w:val="0"/>
        <w:kinsoku/>
        <w:wordWrap/>
        <w:overflowPunct/>
        <w:topLinePunct w:val="0"/>
        <w:autoSpaceDE/>
        <w:autoSpaceDN/>
        <w:bidi w:val="0"/>
        <w:adjustRightInd/>
        <w:snapToGrid/>
        <w:spacing w:before="0" w:after="0" w:line="360" w:lineRule="auto"/>
        <w:ind w:firstLine="480"/>
        <w:jc w:val="left"/>
        <w:textAlignment w:val="auto"/>
        <w:rPr>
          <w:rFonts w:hint="eastAsia" w:ascii="宋体" w:hAnsi="宋体" w:eastAsia="宋体" w:cs="宋体"/>
          <w:sz w:val="24"/>
          <w:szCs w:val="24"/>
        </w:rPr>
      </w:pPr>
      <w:r>
        <w:rPr>
          <w:rFonts w:hint="eastAsia" w:ascii="宋体" w:hAnsi="宋体" w:eastAsia="宋体" w:cs="宋体"/>
          <w:b w:val="0"/>
          <w:bCs w:val="0"/>
          <w:sz w:val="24"/>
          <w:szCs w:val="24"/>
        </w:rPr>
        <w:t>一、项目属性：货物类项目。</w:t>
      </w:r>
    </w:p>
    <w:p w14:paraId="41D88E1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bCs/>
          <w:sz w:val="24"/>
          <w:szCs w:val="24"/>
        </w:rPr>
      </w:pPr>
      <w:r>
        <w:rPr>
          <w:rFonts w:hint="eastAsia" w:ascii="宋体" w:hAnsi="宋体" w:eastAsia="宋体" w:cs="宋体"/>
          <w:sz w:val="24"/>
          <w:szCs w:val="24"/>
        </w:rPr>
        <w:t>二、采购清单</w:t>
      </w:r>
      <w:r>
        <w:rPr>
          <w:rFonts w:hint="eastAsia" w:ascii="宋体" w:hAnsi="宋体" w:eastAsia="宋体" w:cs="宋体"/>
          <w:bCs/>
          <w:sz w:val="24"/>
          <w:szCs w:val="24"/>
        </w:rPr>
        <w:t>（具体要求详见技术参数）</w:t>
      </w:r>
      <w:r>
        <w:rPr>
          <w:rFonts w:hint="eastAsia" w:ascii="宋体" w:hAnsi="宋体" w:eastAsia="宋体" w:cs="宋体"/>
          <w:b/>
          <w:bCs/>
          <w:sz w:val="24"/>
          <w:szCs w:val="24"/>
        </w:rPr>
        <w:t>：</w:t>
      </w:r>
    </w:p>
    <w:tbl>
      <w:tblPr>
        <w:tblStyle w:val="14"/>
        <w:tblW w:w="9269" w:type="dxa"/>
        <w:tblInd w:w="4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0"/>
        <w:gridCol w:w="3261"/>
        <w:gridCol w:w="1169"/>
        <w:gridCol w:w="1503"/>
        <w:gridCol w:w="1678"/>
        <w:gridCol w:w="888"/>
      </w:tblGrid>
      <w:tr w14:paraId="34EC2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CF5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序号</w:t>
            </w:r>
          </w:p>
        </w:tc>
        <w:tc>
          <w:tcPr>
            <w:tcW w:w="3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5CA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设备名称</w:t>
            </w:r>
          </w:p>
        </w:tc>
        <w:tc>
          <w:tcPr>
            <w:tcW w:w="1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98C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数量(台)</w:t>
            </w:r>
          </w:p>
        </w:tc>
        <w:tc>
          <w:tcPr>
            <w:tcW w:w="1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57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rPr>
              <w:t>控制单价（元</w:t>
            </w:r>
            <w:r>
              <w:rPr>
                <w:rFonts w:hint="eastAsia" w:ascii="宋体" w:hAnsi="宋体" w:eastAsia="宋体" w:cs="宋体"/>
                <w:sz w:val="24"/>
                <w:szCs w:val="24"/>
                <w:lang w:val="en-US" w:eastAsia="zh-CN"/>
              </w:rPr>
              <w:t>/台</w:t>
            </w:r>
            <w:r>
              <w:rPr>
                <w:rFonts w:hint="eastAsia" w:ascii="宋体" w:hAnsi="宋体" w:eastAsia="宋体" w:cs="宋体"/>
                <w:sz w:val="24"/>
                <w:szCs w:val="24"/>
              </w:rPr>
              <w:t>）</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3455">
            <w:pPr>
              <w:pStyle w:val="1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合价</w:t>
            </w:r>
          </w:p>
          <w:p w14:paraId="66E433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（元）</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B55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64ADE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06D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3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F711">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i w:val="0"/>
                <w:iCs w:val="0"/>
                <w:color w:val="000000"/>
                <w:sz w:val="24"/>
                <w:szCs w:val="24"/>
                <w:highlight w:val="none"/>
                <w:u w:val="none"/>
              </w:rPr>
            </w:pPr>
            <w:r>
              <w:rPr>
                <w:rFonts w:hint="eastAsia" w:ascii="宋体" w:hAnsi="宋体" w:eastAsia="宋体" w:cs="宋体"/>
                <w:kern w:val="0"/>
                <w:sz w:val="24"/>
                <w:szCs w:val="24"/>
                <w:highlight w:val="none"/>
                <w:lang w:val="en-US" w:eastAsia="zh-CN"/>
              </w:rPr>
              <w:t>脉动真空灭菌器</w:t>
            </w:r>
          </w:p>
        </w:tc>
        <w:tc>
          <w:tcPr>
            <w:tcW w:w="1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B1E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highlight w:val="none"/>
                <w:u w:val="none"/>
              </w:rPr>
            </w:pPr>
            <w:r>
              <w:rPr>
                <w:rFonts w:hint="eastAsia" w:ascii="宋体" w:hAnsi="宋体" w:eastAsia="宋体" w:cs="宋体"/>
                <w:kern w:val="0"/>
                <w:sz w:val="24"/>
                <w:szCs w:val="24"/>
                <w:highlight w:val="none"/>
                <w:lang w:val="en-US" w:eastAsia="zh-CN"/>
              </w:rPr>
              <w:t>1</w:t>
            </w:r>
          </w:p>
        </w:tc>
        <w:tc>
          <w:tcPr>
            <w:tcW w:w="1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DA0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315000.00</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D06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315000.00</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80C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highlight w:val="none"/>
                <w:lang w:val="en-US" w:eastAsia="zh-CN"/>
              </w:rPr>
            </w:pPr>
          </w:p>
        </w:tc>
      </w:tr>
      <w:tr w14:paraId="15A2D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C1E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3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63232">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i w:val="0"/>
                <w:iCs w:val="0"/>
                <w:color w:val="000000"/>
                <w:sz w:val="24"/>
                <w:szCs w:val="24"/>
                <w:highlight w:val="none"/>
                <w:u w:val="none"/>
              </w:rPr>
            </w:pPr>
            <w:r>
              <w:rPr>
                <w:rFonts w:hint="eastAsia" w:ascii="宋体" w:hAnsi="宋体" w:eastAsia="宋体" w:cs="宋体"/>
                <w:kern w:val="0"/>
                <w:sz w:val="24"/>
                <w:szCs w:val="24"/>
                <w:highlight w:val="none"/>
                <w:lang w:val="en-US" w:eastAsia="zh-CN"/>
              </w:rPr>
              <w:t>减压沸腾清洗机</w:t>
            </w:r>
          </w:p>
        </w:tc>
        <w:tc>
          <w:tcPr>
            <w:tcW w:w="1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ADB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highlight w:val="none"/>
                <w:u w:val="none"/>
              </w:rPr>
            </w:pPr>
            <w:r>
              <w:rPr>
                <w:rFonts w:hint="eastAsia" w:ascii="宋体" w:hAnsi="宋体" w:eastAsia="宋体" w:cs="宋体"/>
                <w:kern w:val="0"/>
                <w:sz w:val="24"/>
                <w:szCs w:val="24"/>
                <w:highlight w:val="none"/>
                <w:lang w:val="en-US" w:eastAsia="zh-CN"/>
              </w:rPr>
              <w:t>1</w:t>
            </w:r>
          </w:p>
        </w:tc>
        <w:tc>
          <w:tcPr>
            <w:tcW w:w="1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8A0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245000.00</w:t>
            </w:r>
          </w:p>
        </w:tc>
        <w:tc>
          <w:tcPr>
            <w:tcW w:w="1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50E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245000.00</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E96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highlight w:val="none"/>
                <w:lang w:val="en-US" w:eastAsia="zh-CN"/>
              </w:rPr>
            </w:pPr>
          </w:p>
        </w:tc>
      </w:tr>
      <w:tr w14:paraId="70817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D81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3</w:t>
            </w:r>
          </w:p>
        </w:tc>
        <w:tc>
          <w:tcPr>
            <w:tcW w:w="593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2B1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合计（元）</w:t>
            </w:r>
          </w:p>
        </w:tc>
        <w:tc>
          <w:tcPr>
            <w:tcW w:w="25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ED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560000.00</w:t>
            </w:r>
          </w:p>
        </w:tc>
      </w:tr>
    </w:tbl>
    <w:p w14:paraId="3ED173EA">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60" w:lineRule="auto"/>
        <w:ind w:firstLine="482" w:firstLineChars="0"/>
        <w:jc w:val="both"/>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SA"/>
        </w:rPr>
        <w:t>三、</w:t>
      </w:r>
      <w:r>
        <w:rPr>
          <w:rFonts w:hint="eastAsia" w:ascii="宋体" w:hAnsi="宋体" w:eastAsia="宋体" w:cs="宋体"/>
          <w:b/>
          <w:bCs/>
          <w:sz w:val="24"/>
          <w:szCs w:val="24"/>
        </w:rPr>
        <w:t>技术参数及功能要求：</w:t>
      </w:r>
    </w:p>
    <w:p w14:paraId="0E4312EA">
      <w:pPr>
        <w:keepNext w:val="0"/>
        <w:keepLines w:val="0"/>
        <w:widowControl/>
        <w:suppressLineNumbers w:val="0"/>
        <w:jc w:val="left"/>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1）脉动真空灭菌器参数</w:t>
      </w:r>
    </w:p>
    <w:tbl>
      <w:tblPr>
        <w:tblStyle w:val="14"/>
        <w:tblW w:w="46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07"/>
        <w:gridCol w:w="2016"/>
        <w:gridCol w:w="6231"/>
      </w:tblGrid>
      <w:tr w14:paraId="4CBFB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346BCF46">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一：设备参数及配置</w:t>
            </w:r>
          </w:p>
        </w:tc>
      </w:tr>
      <w:tr w14:paraId="4B6A0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024079DB">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w:t>
            </w:r>
          </w:p>
        </w:tc>
        <w:tc>
          <w:tcPr>
            <w:tcW w:w="4408" w:type="pct"/>
            <w:gridSpan w:val="2"/>
            <w:tcBorders>
              <w:top w:val="single" w:color="000000" w:sz="4" w:space="0"/>
              <w:left w:val="single" w:color="000000" w:sz="4" w:space="0"/>
              <w:bottom w:val="single" w:color="000000" w:sz="4" w:space="0"/>
              <w:right w:val="single" w:color="000000" w:sz="4" w:space="0"/>
            </w:tcBorders>
            <w:noWrap/>
            <w:vAlign w:val="center"/>
          </w:tcPr>
          <w:p w14:paraId="45C62E04">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Style w:val="31"/>
                <w:rFonts w:hint="eastAsia" w:ascii="宋体" w:hAnsi="宋体" w:eastAsia="宋体" w:cs="宋体"/>
                <w:color w:val="auto"/>
                <w:sz w:val="21"/>
                <w:szCs w:val="21"/>
                <w:highlight w:val="none"/>
                <w:lang w:val="en-US" w:eastAsia="zh-CN" w:bidi="ar"/>
              </w:rPr>
              <w:t>技术要求</w:t>
            </w:r>
          </w:p>
        </w:tc>
      </w:tr>
      <w:tr w14:paraId="14134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7A1E63A9">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1.1</w:t>
            </w:r>
          </w:p>
        </w:tc>
        <w:tc>
          <w:tcPr>
            <w:tcW w:w="4408" w:type="pct"/>
            <w:gridSpan w:val="2"/>
            <w:tcBorders>
              <w:top w:val="single" w:color="000000" w:sz="4" w:space="0"/>
              <w:left w:val="single" w:color="000000" w:sz="4" w:space="0"/>
              <w:bottom w:val="single" w:color="000000" w:sz="4" w:space="0"/>
              <w:right w:val="single" w:color="000000" w:sz="4" w:space="0"/>
            </w:tcBorders>
            <w:noWrap/>
            <w:vAlign w:val="center"/>
          </w:tcPr>
          <w:p w14:paraId="5D39CF09">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Style w:val="31"/>
                <w:rFonts w:hint="eastAsia" w:ascii="宋体" w:hAnsi="宋体" w:eastAsia="宋体" w:cs="宋体"/>
                <w:color w:val="auto"/>
                <w:sz w:val="21"/>
                <w:szCs w:val="21"/>
                <w:highlight w:val="none"/>
                <w:lang w:val="en-US" w:eastAsia="zh-CN" w:bidi="ar"/>
              </w:rPr>
              <w:t>主体</w:t>
            </w:r>
          </w:p>
        </w:tc>
      </w:tr>
      <w:tr w14:paraId="42C67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4DC8E7D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376A105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r>
              <w:rPr>
                <w:rStyle w:val="32"/>
                <w:rFonts w:hint="eastAsia" w:ascii="宋体" w:hAnsi="宋体" w:eastAsia="宋体" w:cs="宋体"/>
                <w:color w:val="auto"/>
                <w:sz w:val="21"/>
                <w:szCs w:val="21"/>
                <w:highlight w:val="none"/>
                <w:lang w:val="en-US" w:eastAsia="zh-CN" w:bidi="ar"/>
              </w:rPr>
              <w:t>容积</w:t>
            </w:r>
          </w:p>
        </w:tc>
        <w:tc>
          <w:tcPr>
            <w:tcW w:w="3331" w:type="pct"/>
            <w:tcBorders>
              <w:top w:val="single" w:color="000000" w:sz="4" w:space="0"/>
              <w:left w:val="single" w:color="000000" w:sz="4" w:space="0"/>
              <w:bottom w:val="single" w:color="000000" w:sz="4" w:space="0"/>
              <w:right w:val="single" w:color="000000" w:sz="4" w:space="0"/>
            </w:tcBorders>
            <w:noWrap w:val="0"/>
            <w:vAlign w:val="center"/>
          </w:tcPr>
          <w:p w14:paraId="109C618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Style w:val="34"/>
                <w:rFonts w:hint="eastAsia" w:ascii="宋体" w:hAnsi="宋体" w:eastAsia="宋体" w:cs="宋体"/>
                <w:color w:val="auto"/>
                <w:sz w:val="21"/>
                <w:szCs w:val="21"/>
                <w:highlight w:val="none"/>
                <w:lang w:val="en-US" w:eastAsia="zh-CN" w:bidi="ar"/>
              </w:rPr>
              <w:t>1200L</w:t>
            </w:r>
          </w:p>
        </w:tc>
      </w:tr>
      <w:tr w14:paraId="0192E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49E6E8E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7C4720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微软雅黑" w:hAnsi="微软雅黑" w:eastAsia="微软雅黑" w:cs="微软雅黑"/>
                <w:color w:val="auto"/>
                <w:sz w:val="22"/>
                <w:szCs w:val="22"/>
                <w:highlight w:val="none"/>
              </w:rPr>
              <w:t>▲</w:t>
            </w:r>
            <w:r>
              <w:rPr>
                <w:rStyle w:val="32"/>
                <w:rFonts w:hint="eastAsia" w:ascii="宋体" w:hAnsi="宋体" w:eastAsia="宋体" w:cs="宋体"/>
                <w:color w:val="auto"/>
                <w:sz w:val="21"/>
                <w:szCs w:val="21"/>
                <w:highlight w:val="none"/>
                <w:lang w:val="en-US" w:eastAsia="zh-CN" w:bidi="ar"/>
              </w:rPr>
              <w:t>主体结构</w:t>
            </w:r>
          </w:p>
        </w:tc>
        <w:tc>
          <w:tcPr>
            <w:tcW w:w="3331" w:type="pct"/>
            <w:tcBorders>
              <w:top w:val="single" w:color="000000" w:sz="4" w:space="0"/>
              <w:left w:val="single" w:color="000000" w:sz="4" w:space="0"/>
              <w:bottom w:val="single" w:color="000000" w:sz="4" w:space="0"/>
              <w:right w:val="single" w:color="000000" w:sz="4" w:space="0"/>
            </w:tcBorders>
            <w:noWrap w:val="0"/>
            <w:vAlign w:val="center"/>
          </w:tcPr>
          <w:p w14:paraId="65F27AA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环形加强筋结构</w:t>
            </w:r>
          </w:p>
        </w:tc>
      </w:tr>
      <w:tr w14:paraId="30651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2F126BF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1.1.3</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63C046F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微软雅黑" w:hAnsi="微软雅黑" w:eastAsia="微软雅黑" w:cs="微软雅黑"/>
                <w:color w:val="auto"/>
                <w:sz w:val="22"/>
                <w:szCs w:val="22"/>
                <w:highlight w:val="none"/>
              </w:rPr>
              <w:t>▲</w:t>
            </w:r>
            <w:r>
              <w:rPr>
                <w:rStyle w:val="32"/>
                <w:rFonts w:hint="eastAsia" w:ascii="宋体" w:hAnsi="宋体" w:eastAsia="宋体" w:cs="宋体"/>
                <w:color w:val="auto"/>
                <w:sz w:val="21"/>
                <w:szCs w:val="21"/>
                <w:highlight w:val="none"/>
                <w:lang w:val="en-US" w:eastAsia="zh-CN" w:bidi="ar"/>
              </w:rPr>
              <w:t>焊接工艺</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7CAC3CF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全自动焊接机器人焊接保证焊缝质量,极大地延长使用寿命</w:t>
            </w:r>
          </w:p>
        </w:tc>
      </w:tr>
      <w:tr w14:paraId="588EB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65D1B28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3B6A068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r>
              <w:rPr>
                <w:rStyle w:val="32"/>
                <w:rFonts w:hint="eastAsia" w:ascii="宋体" w:hAnsi="宋体" w:eastAsia="宋体" w:cs="宋体"/>
                <w:color w:val="auto"/>
                <w:sz w:val="21"/>
                <w:szCs w:val="21"/>
                <w:highlight w:val="none"/>
                <w:lang w:val="en-US" w:eastAsia="zh-CN" w:bidi="ar"/>
              </w:rPr>
              <w:t>材质</w:t>
            </w:r>
          </w:p>
        </w:tc>
        <w:tc>
          <w:tcPr>
            <w:tcW w:w="3331" w:type="pct"/>
            <w:tcBorders>
              <w:top w:val="single" w:color="000000" w:sz="4" w:space="0"/>
              <w:left w:val="single" w:color="000000" w:sz="4" w:space="0"/>
              <w:bottom w:val="single" w:color="000000" w:sz="4" w:space="0"/>
              <w:right w:val="single" w:color="000000" w:sz="4" w:space="0"/>
            </w:tcBorders>
            <w:noWrap w:val="0"/>
            <w:vAlign w:val="center"/>
          </w:tcPr>
          <w:p w14:paraId="66C8946E">
            <w:pPr>
              <w:keepNext w:val="0"/>
              <w:keepLines w:val="0"/>
              <w:widowControl/>
              <w:suppressLineNumbers w:val="0"/>
              <w:jc w:val="left"/>
              <w:textAlignment w:val="center"/>
              <w:rPr>
                <w:rFonts w:hint="default" w:ascii="宋体" w:hAnsi="宋体" w:eastAsia="宋体" w:cs="宋体"/>
                <w:i w:val="0"/>
                <w:iCs w:val="0"/>
                <w:color w:val="auto"/>
                <w:sz w:val="21"/>
                <w:szCs w:val="21"/>
                <w:highlight w:val="none"/>
                <w:u w:val="none"/>
                <w:lang w:val="en-US"/>
              </w:rPr>
            </w:pPr>
            <w:r>
              <w:rPr>
                <w:rStyle w:val="32"/>
                <w:rFonts w:hint="eastAsia" w:ascii="宋体" w:hAnsi="宋体" w:eastAsia="宋体" w:cs="宋体"/>
                <w:color w:val="auto"/>
                <w:sz w:val="21"/>
                <w:szCs w:val="21"/>
                <w:highlight w:val="none"/>
                <w:lang w:val="en-US" w:eastAsia="zh-CN" w:bidi="ar"/>
              </w:rPr>
              <w:t>内壳、夹层</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316不锈钢</w:t>
            </w:r>
            <w:r>
              <w:rPr>
                <w:rFonts w:hint="eastAsia" w:ascii="宋体" w:hAnsi="宋体" w:cs="宋体"/>
                <w:color w:val="auto"/>
                <w:sz w:val="21"/>
                <w:szCs w:val="21"/>
                <w:highlight w:val="none"/>
                <w:lang w:val="en-US" w:eastAsia="zh-CN"/>
              </w:rPr>
              <w:t>（提供产品质量证明书）</w:t>
            </w:r>
          </w:p>
        </w:tc>
      </w:tr>
      <w:tr w14:paraId="7D2CE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46812BF3">
            <w:pPr>
              <w:keepNext w:val="0"/>
              <w:keepLines w:val="0"/>
              <w:widowControl/>
              <w:suppressLineNumbers w:val="0"/>
              <w:jc w:val="left"/>
              <w:textAlignment w:val="center"/>
              <w:rPr>
                <w:rFonts w:hint="eastAsia" w:ascii="宋体" w:hAnsi="宋体" w:eastAsia="宋体" w:cs="宋体"/>
                <w:i w:val="0"/>
                <w:iCs w:val="0"/>
                <w:strike w:val="0"/>
                <w:dstrike w:val="0"/>
                <w:color w:val="auto"/>
                <w:sz w:val="21"/>
                <w:szCs w:val="21"/>
                <w:highlight w:val="none"/>
                <w:u w:val="none"/>
              </w:rPr>
            </w:pPr>
            <w:r>
              <w:rPr>
                <w:rFonts w:hint="eastAsia" w:ascii="宋体" w:hAnsi="宋体" w:eastAsia="宋体" w:cs="宋体"/>
                <w:i w:val="0"/>
                <w:iCs w:val="0"/>
                <w:strike w:val="0"/>
                <w:dstrike w:val="0"/>
                <w:color w:val="auto"/>
                <w:kern w:val="0"/>
                <w:sz w:val="21"/>
                <w:szCs w:val="21"/>
                <w:highlight w:val="none"/>
                <w:u w:val="none"/>
                <w:lang w:val="en-US" w:eastAsia="zh-CN" w:bidi="ar"/>
              </w:rPr>
              <w:t>1.1.5</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713D5E7E">
            <w:pPr>
              <w:keepNext w:val="0"/>
              <w:keepLines w:val="0"/>
              <w:widowControl/>
              <w:suppressLineNumbers w:val="0"/>
              <w:jc w:val="left"/>
              <w:textAlignment w:val="center"/>
              <w:rPr>
                <w:rFonts w:hint="eastAsia" w:ascii="宋体" w:hAnsi="宋体" w:eastAsia="宋体" w:cs="宋体"/>
                <w:i w:val="0"/>
                <w:iCs w:val="0"/>
                <w:strike w:val="0"/>
                <w:dstrike w:val="0"/>
                <w:color w:val="auto"/>
                <w:sz w:val="21"/>
                <w:szCs w:val="21"/>
                <w:highlight w:val="none"/>
                <w:u w:val="none"/>
              </w:rPr>
            </w:pPr>
            <w:r>
              <w:rPr>
                <w:rStyle w:val="32"/>
                <w:rFonts w:hint="eastAsia" w:ascii="宋体" w:hAnsi="宋体" w:eastAsia="宋体" w:cs="宋体"/>
                <w:strike w:val="0"/>
                <w:dstrike w:val="0"/>
                <w:color w:val="auto"/>
                <w:sz w:val="21"/>
                <w:szCs w:val="21"/>
                <w:highlight w:val="none"/>
                <w:lang w:val="en-US" w:eastAsia="zh-CN" w:bidi="ar"/>
              </w:rPr>
              <w:t>设计压力</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5B63C6E1">
            <w:pPr>
              <w:keepNext w:val="0"/>
              <w:keepLines w:val="0"/>
              <w:widowControl/>
              <w:suppressLineNumbers w:val="0"/>
              <w:jc w:val="left"/>
              <w:textAlignment w:val="center"/>
              <w:rPr>
                <w:rFonts w:hint="eastAsia" w:ascii="宋体" w:hAnsi="宋体" w:eastAsia="宋体" w:cs="宋体"/>
                <w:i w:val="0"/>
                <w:iCs w:val="0"/>
                <w:strike w:val="0"/>
                <w:dstrike w:val="0"/>
                <w:color w:val="auto"/>
                <w:sz w:val="21"/>
                <w:szCs w:val="21"/>
                <w:highlight w:val="none"/>
                <w:u w:val="none"/>
              </w:rPr>
            </w:pPr>
            <w:r>
              <w:rPr>
                <w:rStyle w:val="35"/>
                <w:rFonts w:hint="eastAsia" w:ascii="宋体" w:hAnsi="宋体" w:eastAsia="宋体" w:cs="宋体"/>
                <w:strike w:val="0"/>
                <w:dstrike w:val="0"/>
                <w:color w:val="auto"/>
                <w:sz w:val="21"/>
                <w:szCs w:val="21"/>
                <w:highlight w:val="none"/>
                <w:lang w:val="en-US" w:eastAsia="zh-CN" w:bidi="ar"/>
              </w:rPr>
              <w:t>-0.1/0.3Mpa</w:t>
            </w:r>
          </w:p>
        </w:tc>
      </w:tr>
      <w:tr w14:paraId="5DF58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11BA12D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1.1.6</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2B5104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设计温度</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16916D0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Style w:val="35"/>
                <w:rFonts w:hint="eastAsia" w:ascii="宋体" w:hAnsi="宋体" w:eastAsia="宋体" w:cs="宋体"/>
                <w:color w:val="auto"/>
                <w:sz w:val="21"/>
                <w:szCs w:val="21"/>
                <w:highlight w:val="none"/>
                <w:lang w:val="en-US" w:eastAsia="zh-CN" w:bidi="ar"/>
              </w:rPr>
              <w:t>144</w:t>
            </w:r>
            <w:r>
              <w:rPr>
                <w:rStyle w:val="32"/>
                <w:rFonts w:hint="eastAsia" w:ascii="宋体" w:hAnsi="宋体" w:eastAsia="宋体" w:cs="宋体"/>
                <w:color w:val="auto"/>
                <w:sz w:val="21"/>
                <w:szCs w:val="21"/>
                <w:highlight w:val="none"/>
                <w:lang w:val="en-US" w:eastAsia="zh-CN" w:bidi="ar"/>
              </w:rPr>
              <w:t>℃</w:t>
            </w:r>
          </w:p>
        </w:tc>
      </w:tr>
      <w:tr w14:paraId="5DE0D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6F6357B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1.1.7</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67BCA88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微软雅黑" w:hAnsi="微软雅黑" w:eastAsia="微软雅黑" w:cs="微软雅黑"/>
                <w:color w:val="auto"/>
                <w:sz w:val="22"/>
                <w:szCs w:val="22"/>
                <w:highlight w:val="none"/>
              </w:rPr>
              <w:t>▲</w:t>
            </w:r>
            <w:r>
              <w:rPr>
                <w:rStyle w:val="32"/>
                <w:rFonts w:hint="eastAsia" w:ascii="宋体" w:hAnsi="宋体" w:eastAsia="宋体" w:cs="宋体"/>
                <w:color w:val="auto"/>
                <w:sz w:val="21"/>
                <w:szCs w:val="21"/>
                <w:highlight w:val="none"/>
                <w:lang w:val="en-US" w:eastAsia="zh-CN" w:bidi="ar"/>
              </w:rPr>
              <w:t>使用寿命</w:t>
            </w:r>
          </w:p>
        </w:tc>
        <w:tc>
          <w:tcPr>
            <w:tcW w:w="3331" w:type="pct"/>
            <w:tcBorders>
              <w:top w:val="single" w:color="000000" w:sz="4" w:space="0"/>
              <w:left w:val="single" w:color="000000" w:sz="4" w:space="0"/>
              <w:bottom w:val="single" w:color="000000" w:sz="4" w:space="0"/>
              <w:right w:val="single" w:color="000000" w:sz="4" w:space="0"/>
            </w:tcBorders>
            <w:noWrap w:val="0"/>
            <w:vAlign w:val="center"/>
          </w:tcPr>
          <w:p w14:paraId="5B55E79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Style w:val="35"/>
                <w:rFonts w:hint="eastAsia" w:ascii="宋体" w:hAnsi="宋体" w:eastAsia="宋体" w:cs="宋体"/>
                <w:color w:val="auto"/>
                <w:sz w:val="21"/>
                <w:szCs w:val="21"/>
                <w:highlight w:val="none"/>
                <w:lang w:val="en-US" w:eastAsia="zh-CN" w:bidi="ar"/>
              </w:rPr>
              <w:t>15</w:t>
            </w:r>
            <w:r>
              <w:rPr>
                <w:rStyle w:val="32"/>
                <w:rFonts w:hint="eastAsia" w:ascii="宋体" w:hAnsi="宋体" w:eastAsia="宋体" w:cs="宋体"/>
                <w:color w:val="auto"/>
                <w:sz w:val="21"/>
                <w:szCs w:val="21"/>
                <w:highlight w:val="none"/>
                <w:lang w:val="en-US" w:eastAsia="zh-CN" w:bidi="ar"/>
              </w:rPr>
              <w:t>年</w:t>
            </w:r>
            <w:r>
              <w:rPr>
                <w:rStyle w:val="35"/>
                <w:rFonts w:hint="eastAsia" w:ascii="宋体" w:hAnsi="宋体" w:eastAsia="宋体" w:cs="宋体"/>
                <w:color w:val="auto"/>
                <w:sz w:val="21"/>
                <w:szCs w:val="21"/>
                <w:highlight w:val="none"/>
                <w:lang w:val="en-US" w:eastAsia="zh-CN" w:bidi="ar"/>
              </w:rPr>
              <w:t>/30000</w:t>
            </w:r>
            <w:r>
              <w:rPr>
                <w:rStyle w:val="32"/>
                <w:rFonts w:hint="eastAsia" w:ascii="宋体" w:hAnsi="宋体" w:eastAsia="宋体" w:cs="宋体"/>
                <w:color w:val="auto"/>
                <w:sz w:val="21"/>
                <w:szCs w:val="21"/>
                <w:highlight w:val="none"/>
                <w:lang w:val="en-US" w:eastAsia="zh-CN" w:bidi="ar"/>
              </w:rPr>
              <w:t>次灭菌循环</w:t>
            </w:r>
            <w:r>
              <w:rPr>
                <w:rStyle w:val="35"/>
                <w:rFonts w:hint="eastAsia" w:ascii="宋体" w:hAnsi="宋体" w:eastAsia="宋体" w:cs="宋体"/>
                <w:color w:val="auto"/>
                <w:sz w:val="21"/>
                <w:szCs w:val="21"/>
                <w:highlight w:val="none"/>
                <w:lang w:val="en-US" w:eastAsia="zh-CN" w:bidi="ar"/>
              </w:rPr>
              <w:t xml:space="preserve">        </w:t>
            </w:r>
          </w:p>
        </w:tc>
      </w:tr>
      <w:tr w14:paraId="524E0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08FCEE4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1.1.8</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5C640C8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微软雅黑" w:hAnsi="微软雅黑" w:eastAsia="微软雅黑" w:cs="微软雅黑"/>
                <w:color w:val="auto"/>
                <w:sz w:val="22"/>
                <w:szCs w:val="22"/>
                <w:highlight w:val="none"/>
              </w:rPr>
              <w:t>▲</w:t>
            </w:r>
            <w:r>
              <w:rPr>
                <w:rStyle w:val="32"/>
                <w:rFonts w:hint="eastAsia" w:ascii="宋体" w:hAnsi="宋体" w:eastAsia="宋体" w:cs="宋体"/>
                <w:color w:val="auto"/>
                <w:sz w:val="21"/>
                <w:szCs w:val="21"/>
                <w:highlight w:val="none"/>
                <w:lang w:val="en-US" w:eastAsia="zh-CN" w:bidi="ar"/>
              </w:rPr>
              <w:t>夹套数量</w:t>
            </w:r>
          </w:p>
        </w:tc>
        <w:tc>
          <w:tcPr>
            <w:tcW w:w="3331" w:type="pct"/>
            <w:tcBorders>
              <w:top w:val="single" w:color="000000" w:sz="4" w:space="0"/>
              <w:left w:val="single" w:color="000000" w:sz="4" w:space="0"/>
              <w:bottom w:val="single" w:color="000000" w:sz="4" w:space="0"/>
              <w:right w:val="single" w:color="000000" w:sz="4" w:space="0"/>
            </w:tcBorders>
            <w:noWrap w:val="0"/>
            <w:vAlign w:val="center"/>
          </w:tcPr>
          <w:p w14:paraId="03C0DA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环形加强筋结构，环形加强筋个数≥</w:t>
            </w:r>
            <w:r>
              <w:rPr>
                <w:rStyle w:val="35"/>
                <w:rFonts w:hint="eastAsia" w:ascii="宋体" w:hAnsi="宋体" w:eastAsia="宋体" w:cs="宋体"/>
                <w:color w:val="auto"/>
                <w:sz w:val="21"/>
                <w:szCs w:val="21"/>
                <w:highlight w:val="none"/>
                <w:lang w:val="en-US" w:eastAsia="zh-CN" w:bidi="ar"/>
              </w:rPr>
              <w:t>5</w:t>
            </w:r>
            <w:r>
              <w:rPr>
                <w:rStyle w:val="32"/>
                <w:rFonts w:hint="eastAsia" w:ascii="宋体" w:hAnsi="宋体" w:eastAsia="宋体" w:cs="宋体"/>
                <w:color w:val="auto"/>
                <w:sz w:val="21"/>
                <w:szCs w:val="21"/>
                <w:highlight w:val="none"/>
                <w:lang w:val="en-US" w:eastAsia="zh-CN" w:bidi="ar"/>
              </w:rPr>
              <w:t>个</w:t>
            </w:r>
            <w:r>
              <w:rPr>
                <w:rStyle w:val="32"/>
                <w:rFonts w:hint="eastAsia" w:ascii="宋体" w:hAnsi="宋体" w:cs="宋体"/>
                <w:color w:val="auto"/>
                <w:sz w:val="21"/>
                <w:szCs w:val="21"/>
                <w:highlight w:val="none"/>
                <w:lang w:val="en-US" w:eastAsia="zh-CN" w:bidi="ar"/>
              </w:rPr>
              <w:t>（需提供设备实物图）</w:t>
            </w:r>
          </w:p>
        </w:tc>
      </w:tr>
      <w:tr w14:paraId="3D3B7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5F28908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112BE2B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主体保温</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59CFCC3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rPr>
            </w:pPr>
            <w:r>
              <w:rPr>
                <w:rStyle w:val="32"/>
                <w:rFonts w:hint="eastAsia" w:ascii="宋体" w:hAnsi="宋体" w:eastAsia="宋体" w:cs="宋体"/>
                <w:color w:val="auto"/>
                <w:sz w:val="21"/>
                <w:szCs w:val="21"/>
                <w:highlight w:val="none"/>
                <w:lang w:val="en-US" w:eastAsia="zh-CN" w:bidi="ar"/>
              </w:rPr>
              <w:t>采用耐高温、隔热阻燃材料</w:t>
            </w:r>
          </w:p>
        </w:tc>
      </w:tr>
      <w:tr w14:paraId="6900B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365861BC">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w:t>
            </w:r>
          </w:p>
        </w:tc>
        <w:tc>
          <w:tcPr>
            <w:tcW w:w="4408" w:type="pct"/>
            <w:gridSpan w:val="2"/>
            <w:tcBorders>
              <w:top w:val="single" w:color="000000" w:sz="4" w:space="0"/>
              <w:left w:val="single" w:color="000000" w:sz="4" w:space="0"/>
              <w:bottom w:val="single" w:color="000000" w:sz="4" w:space="0"/>
              <w:right w:val="single" w:color="000000" w:sz="4" w:space="0"/>
            </w:tcBorders>
            <w:noWrap/>
            <w:vAlign w:val="center"/>
          </w:tcPr>
          <w:p w14:paraId="3DA8B3B7">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Style w:val="31"/>
                <w:rFonts w:hint="eastAsia" w:ascii="宋体" w:hAnsi="宋体" w:eastAsia="宋体" w:cs="宋体"/>
                <w:color w:val="auto"/>
                <w:sz w:val="21"/>
                <w:szCs w:val="21"/>
                <w:highlight w:val="none"/>
                <w:lang w:val="en-US" w:eastAsia="zh-CN" w:bidi="ar"/>
              </w:rPr>
              <w:t>密封门</w:t>
            </w:r>
          </w:p>
        </w:tc>
      </w:tr>
      <w:tr w14:paraId="47C28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44670FE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709A38E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门数量</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2442BBC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sz w:val="21"/>
                <w:szCs w:val="21"/>
                <w:highlight w:val="none"/>
                <w:lang w:val="en-US" w:eastAsia="zh-CN"/>
              </w:rPr>
              <w:t>双扉门</w:t>
            </w:r>
          </w:p>
        </w:tc>
      </w:tr>
      <w:tr w14:paraId="47C7B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2593C6B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1.2.2</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3A44C72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微软雅黑" w:hAnsi="微软雅黑" w:eastAsia="微软雅黑" w:cs="微软雅黑"/>
                <w:color w:val="auto"/>
                <w:sz w:val="22"/>
                <w:szCs w:val="22"/>
                <w:highlight w:val="none"/>
              </w:rPr>
              <w:t>▲</w:t>
            </w:r>
            <w:r>
              <w:rPr>
                <w:rStyle w:val="32"/>
                <w:rFonts w:hint="eastAsia" w:ascii="宋体" w:hAnsi="宋体" w:eastAsia="宋体" w:cs="宋体"/>
                <w:color w:val="auto"/>
                <w:sz w:val="21"/>
                <w:szCs w:val="21"/>
                <w:highlight w:val="none"/>
                <w:lang w:val="en-US" w:eastAsia="zh-CN" w:bidi="ar"/>
              </w:rPr>
              <w:t>材质</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3A6435C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≥316L不锈钢材质，门板材质同内壳一致</w:t>
            </w:r>
          </w:p>
        </w:tc>
      </w:tr>
      <w:tr w14:paraId="357E7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3483374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74A2889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结构</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5F17005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与主体啮合齿数≥</w:t>
            </w:r>
            <w:r>
              <w:rPr>
                <w:rStyle w:val="35"/>
                <w:rFonts w:hint="eastAsia" w:ascii="宋体" w:hAnsi="宋体" w:eastAsia="宋体" w:cs="宋体"/>
                <w:color w:val="auto"/>
                <w:sz w:val="21"/>
                <w:szCs w:val="21"/>
                <w:highlight w:val="none"/>
                <w:lang w:val="en-US" w:eastAsia="zh-CN" w:bidi="ar"/>
              </w:rPr>
              <w:t>13</w:t>
            </w:r>
            <w:r>
              <w:rPr>
                <w:rStyle w:val="32"/>
                <w:rFonts w:hint="eastAsia" w:ascii="宋体" w:hAnsi="宋体" w:eastAsia="宋体" w:cs="宋体"/>
                <w:color w:val="auto"/>
                <w:sz w:val="21"/>
                <w:szCs w:val="21"/>
                <w:highlight w:val="none"/>
                <w:lang w:val="en-US" w:eastAsia="zh-CN" w:bidi="ar"/>
              </w:rPr>
              <w:t>个，门板加强筋板数量≥</w:t>
            </w:r>
            <w:r>
              <w:rPr>
                <w:rStyle w:val="35"/>
                <w:rFonts w:hint="eastAsia" w:ascii="宋体" w:hAnsi="宋体" w:eastAsia="宋体" w:cs="宋体"/>
                <w:color w:val="auto"/>
                <w:sz w:val="21"/>
                <w:szCs w:val="21"/>
                <w:highlight w:val="none"/>
                <w:lang w:val="en-US" w:eastAsia="zh-CN" w:bidi="ar"/>
              </w:rPr>
              <w:t>4</w:t>
            </w:r>
            <w:r>
              <w:rPr>
                <w:rStyle w:val="32"/>
                <w:rFonts w:hint="eastAsia" w:ascii="宋体" w:hAnsi="宋体" w:eastAsia="宋体" w:cs="宋体"/>
                <w:color w:val="auto"/>
                <w:sz w:val="21"/>
                <w:szCs w:val="21"/>
                <w:highlight w:val="none"/>
                <w:lang w:val="en-US" w:eastAsia="zh-CN" w:bidi="ar"/>
              </w:rPr>
              <w:t>个</w:t>
            </w:r>
          </w:p>
        </w:tc>
      </w:tr>
      <w:tr w14:paraId="56B3C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450635C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1.2.4</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0C2C786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动力方式</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7E8D021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电机齿轮链条驱动门板上下移动，侧开门式开启柜门</w:t>
            </w:r>
          </w:p>
        </w:tc>
      </w:tr>
      <w:tr w14:paraId="085EC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13BD38E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1.2.5</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0174F4F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安全联锁</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106BE36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安全联锁装置，门未关闭紧时蒸汽不进入舱体；舱体压力高于大气压时舱体门无法打开</w:t>
            </w:r>
          </w:p>
        </w:tc>
      </w:tr>
      <w:tr w14:paraId="168BE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734AF3F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1.2.6</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1A27E43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双门互锁</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406945F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双门互锁，一个门处在非关闭状态下，另一个门无法进行门动作</w:t>
            </w:r>
          </w:p>
        </w:tc>
      </w:tr>
      <w:tr w14:paraId="06C6B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591" w:type="pct"/>
            <w:tcBorders>
              <w:top w:val="nil"/>
              <w:left w:val="single" w:color="000000" w:sz="4" w:space="0"/>
              <w:bottom w:val="single" w:color="000000" w:sz="4" w:space="0"/>
              <w:right w:val="single" w:color="000000" w:sz="4" w:space="0"/>
            </w:tcBorders>
            <w:noWrap/>
            <w:vAlign w:val="center"/>
          </w:tcPr>
          <w:p w14:paraId="175384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1.2.7</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1B4DB24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两种门模式</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57DC0E6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日常工作时使用，前后门不能同时打开；维护或检查检修时由专业工程师使用，前后门可同时打开</w:t>
            </w:r>
          </w:p>
        </w:tc>
      </w:tr>
      <w:tr w14:paraId="3AF73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nil"/>
              <w:left w:val="single" w:color="000000" w:sz="4" w:space="0"/>
              <w:bottom w:val="single" w:color="000000" w:sz="4" w:space="0"/>
              <w:right w:val="single" w:color="000000" w:sz="4" w:space="0"/>
            </w:tcBorders>
            <w:noWrap/>
            <w:vAlign w:val="center"/>
          </w:tcPr>
          <w:p w14:paraId="7AD1CFD1">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w:t>
            </w:r>
          </w:p>
        </w:tc>
        <w:tc>
          <w:tcPr>
            <w:tcW w:w="4408" w:type="pct"/>
            <w:gridSpan w:val="2"/>
            <w:tcBorders>
              <w:top w:val="single" w:color="000000" w:sz="4" w:space="0"/>
              <w:left w:val="single" w:color="000000" w:sz="4" w:space="0"/>
              <w:bottom w:val="single" w:color="000000" w:sz="4" w:space="0"/>
              <w:right w:val="single" w:color="000000" w:sz="4" w:space="0"/>
            </w:tcBorders>
            <w:noWrap/>
            <w:vAlign w:val="center"/>
          </w:tcPr>
          <w:p w14:paraId="3B2CEADB">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管路系统</w:t>
            </w:r>
          </w:p>
        </w:tc>
      </w:tr>
      <w:tr w14:paraId="062DB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46C043A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1.3.1</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00BA74F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管路材质</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133413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不锈钢卫生级管路，卡箍链接</w:t>
            </w:r>
          </w:p>
        </w:tc>
      </w:tr>
      <w:tr w14:paraId="6826A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6D8C297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1F8A177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微软雅黑" w:hAnsi="微软雅黑" w:eastAsia="微软雅黑" w:cs="微软雅黑"/>
                <w:color w:val="auto"/>
                <w:sz w:val="22"/>
                <w:szCs w:val="22"/>
                <w:highlight w:val="none"/>
              </w:rPr>
              <w:t>▲</w:t>
            </w:r>
            <w:r>
              <w:rPr>
                <w:rStyle w:val="32"/>
                <w:rFonts w:hint="eastAsia" w:ascii="宋体" w:hAnsi="宋体" w:eastAsia="宋体" w:cs="宋体"/>
                <w:color w:val="auto"/>
                <w:sz w:val="21"/>
                <w:szCs w:val="21"/>
                <w:highlight w:val="none"/>
                <w:lang w:val="en-US" w:eastAsia="zh-CN" w:bidi="ar"/>
              </w:rPr>
              <w:t>泵</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3C9BB4E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进口或者国内知名品牌真空泵</w:t>
            </w:r>
          </w:p>
        </w:tc>
      </w:tr>
      <w:tr w14:paraId="3AE68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6E09B5A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1.3.3</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5072624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阀门</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291140B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rPr>
            </w:pPr>
            <w:r>
              <w:rPr>
                <w:rStyle w:val="32"/>
                <w:rFonts w:hint="eastAsia" w:ascii="宋体" w:hAnsi="宋体" w:eastAsia="宋体" w:cs="宋体"/>
                <w:color w:val="auto"/>
                <w:sz w:val="21"/>
                <w:szCs w:val="21"/>
                <w:highlight w:val="none"/>
                <w:lang w:val="en-US" w:eastAsia="zh-CN" w:bidi="ar"/>
              </w:rPr>
              <w:t>进口或者国内知名品牌气动阀和电磁阀</w:t>
            </w:r>
          </w:p>
        </w:tc>
      </w:tr>
      <w:tr w14:paraId="5A033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7B4D48B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1.3.4</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3747520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蒸汽源</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57CF2FC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外接蒸汽</w:t>
            </w:r>
          </w:p>
        </w:tc>
      </w:tr>
      <w:tr w14:paraId="21685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43AED0B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1.3.5</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16D7973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降噪系统</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31DBD44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带有降噪装置</w:t>
            </w:r>
          </w:p>
        </w:tc>
      </w:tr>
      <w:tr w14:paraId="1C09E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noWrap/>
            <w:vAlign w:val="center"/>
          </w:tcPr>
          <w:p w14:paraId="1994B2C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1.3.6</w:t>
            </w:r>
          </w:p>
        </w:tc>
        <w:tc>
          <w:tcPr>
            <w:tcW w:w="1077" w:type="pct"/>
            <w:tcBorders>
              <w:top w:val="single" w:color="000000" w:sz="4" w:space="0"/>
              <w:left w:val="single" w:color="000000" w:sz="4" w:space="0"/>
              <w:bottom w:val="single" w:color="000000" w:sz="4" w:space="0"/>
              <w:right w:val="single" w:color="000000" w:sz="4" w:space="0"/>
            </w:tcBorders>
            <w:noWrap/>
            <w:vAlign w:val="center"/>
          </w:tcPr>
          <w:p w14:paraId="5E65B9E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水回收装置</w:t>
            </w:r>
          </w:p>
        </w:tc>
        <w:tc>
          <w:tcPr>
            <w:tcW w:w="3331" w:type="pct"/>
            <w:tcBorders>
              <w:top w:val="single" w:color="000000" w:sz="4" w:space="0"/>
              <w:left w:val="single" w:color="000000" w:sz="4" w:space="0"/>
              <w:bottom w:val="single" w:color="000000" w:sz="4" w:space="0"/>
              <w:right w:val="single" w:color="000000" w:sz="4" w:space="0"/>
            </w:tcBorders>
            <w:noWrap/>
            <w:vAlign w:val="center"/>
          </w:tcPr>
          <w:p w14:paraId="0BD1212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带有换热器冷凝水回收系统，节约能源</w:t>
            </w:r>
          </w:p>
        </w:tc>
      </w:tr>
      <w:tr w14:paraId="616B9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38517EDB">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w:t>
            </w:r>
          </w:p>
        </w:tc>
        <w:tc>
          <w:tcPr>
            <w:tcW w:w="4408" w:type="pct"/>
            <w:gridSpan w:val="2"/>
            <w:tcBorders>
              <w:top w:val="single" w:color="000000" w:sz="4" w:space="0"/>
              <w:left w:val="single" w:color="000000" w:sz="4" w:space="0"/>
              <w:bottom w:val="single" w:color="000000" w:sz="4" w:space="0"/>
              <w:right w:val="single" w:color="000000" w:sz="4" w:space="0"/>
            </w:tcBorders>
            <w:noWrap w:val="0"/>
            <w:vAlign w:val="center"/>
          </w:tcPr>
          <w:p w14:paraId="3349878E">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控制系统</w:t>
            </w:r>
          </w:p>
        </w:tc>
      </w:tr>
      <w:tr w14:paraId="6164E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5DF153E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1.4.1</w:t>
            </w:r>
          </w:p>
        </w:tc>
        <w:tc>
          <w:tcPr>
            <w:tcW w:w="1077" w:type="pct"/>
            <w:tcBorders>
              <w:top w:val="single" w:color="000000" w:sz="4" w:space="0"/>
              <w:left w:val="single" w:color="000000" w:sz="4" w:space="0"/>
              <w:bottom w:val="single" w:color="000000" w:sz="4" w:space="0"/>
              <w:right w:val="single" w:color="000000" w:sz="4" w:space="0"/>
            </w:tcBorders>
            <w:noWrap w:val="0"/>
            <w:vAlign w:val="center"/>
          </w:tcPr>
          <w:p w14:paraId="4FEB90A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PLC</w:t>
            </w:r>
          </w:p>
        </w:tc>
        <w:tc>
          <w:tcPr>
            <w:tcW w:w="3331" w:type="pct"/>
            <w:tcBorders>
              <w:top w:val="single" w:color="000000" w:sz="4" w:space="0"/>
              <w:left w:val="single" w:color="000000" w:sz="4" w:space="0"/>
              <w:bottom w:val="single" w:color="000000" w:sz="4" w:space="0"/>
              <w:right w:val="single" w:color="000000" w:sz="4" w:space="0"/>
            </w:tcBorders>
            <w:noWrap w:val="0"/>
            <w:vAlign w:val="center"/>
          </w:tcPr>
          <w:p w14:paraId="764DD679">
            <w:pPr>
              <w:keepNext w:val="0"/>
              <w:keepLines w:val="0"/>
              <w:widowControl/>
              <w:suppressLineNumbers w:val="0"/>
              <w:jc w:val="left"/>
              <w:textAlignment w:val="center"/>
              <w:rPr>
                <w:rStyle w:val="32"/>
                <w:rFonts w:hint="eastAsia" w:ascii="宋体" w:hAnsi="宋体" w:eastAsia="宋体" w:cs="宋体"/>
                <w:color w:val="auto"/>
                <w:sz w:val="21"/>
                <w:szCs w:val="21"/>
                <w:highlight w:val="none"/>
                <w:lang w:val="en-US" w:eastAsia="zh-CN" w:bidi="ar"/>
              </w:rPr>
            </w:pPr>
            <w:r>
              <w:rPr>
                <w:rStyle w:val="32"/>
                <w:rFonts w:hint="eastAsia" w:ascii="宋体" w:hAnsi="宋体" w:eastAsia="宋体" w:cs="宋体"/>
                <w:color w:val="auto"/>
                <w:sz w:val="21"/>
                <w:szCs w:val="21"/>
                <w:highlight w:val="none"/>
                <w:lang w:val="en-US" w:eastAsia="zh-CN" w:bidi="ar"/>
              </w:rPr>
              <w:t>进口或者国内知名品牌PLC</w:t>
            </w:r>
          </w:p>
        </w:tc>
      </w:tr>
      <w:tr w14:paraId="4CA9E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2EBC65E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1.4.2</w:t>
            </w:r>
          </w:p>
        </w:tc>
        <w:tc>
          <w:tcPr>
            <w:tcW w:w="1077" w:type="pct"/>
            <w:tcBorders>
              <w:top w:val="single" w:color="000000" w:sz="4" w:space="0"/>
              <w:left w:val="single" w:color="000000" w:sz="4" w:space="0"/>
              <w:bottom w:val="single" w:color="000000" w:sz="4" w:space="0"/>
              <w:right w:val="single" w:color="000000" w:sz="4" w:space="0"/>
            </w:tcBorders>
            <w:noWrap w:val="0"/>
            <w:vAlign w:val="center"/>
          </w:tcPr>
          <w:p w14:paraId="72512A3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屏</w:t>
            </w:r>
          </w:p>
        </w:tc>
        <w:tc>
          <w:tcPr>
            <w:tcW w:w="3331" w:type="pct"/>
            <w:tcBorders>
              <w:top w:val="single" w:color="000000" w:sz="4" w:space="0"/>
              <w:left w:val="single" w:color="000000" w:sz="4" w:space="0"/>
              <w:bottom w:val="single" w:color="000000" w:sz="4" w:space="0"/>
              <w:right w:val="single" w:color="000000" w:sz="4" w:space="0"/>
            </w:tcBorders>
            <w:noWrap w:val="0"/>
            <w:vAlign w:val="center"/>
          </w:tcPr>
          <w:p w14:paraId="4009708E">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Style w:val="31"/>
                <w:rFonts w:hint="eastAsia" w:ascii="宋体" w:hAnsi="宋体" w:eastAsia="宋体" w:cs="宋体"/>
                <w:b w:val="0"/>
                <w:bCs w:val="0"/>
                <w:color w:val="auto"/>
                <w:sz w:val="21"/>
                <w:szCs w:val="21"/>
                <w:highlight w:val="none"/>
                <w:lang w:val="en-US" w:eastAsia="zh-CN" w:bidi="ar"/>
              </w:rPr>
              <w:t>双触摸屏，屏幕尺寸：</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32"/>
                <w:rFonts w:hint="eastAsia" w:ascii="宋体" w:hAnsi="宋体" w:eastAsia="宋体" w:cs="宋体"/>
                <w:b w:val="0"/>
                <w:bCs w:val="0"/>
                <w:color w:val="auto"/>
                <w:sz w:val="21"/>
                <w:szCs w:val="21"/>
                <w:highlight w:val="none"/>
                <w:lang w:val="en-US" w:eastAsia="zh-CN" w:bidi="ar"/>
              </w:rPr>
              <w:t>10英寸</w:t>
            </w:r>
            <w:r>
              <w:rPr>
                <w:rStyle w:val="35"/>
                <w:rFonts w:hint="eastAsia" w:ascii="宋体" w:hAnsi="宋体" w:eastAsia="宋体" w:cs="宋体"/>
                <w:color w:val="auto"/>
                <w:sz w:val="21"/>
                <w:szCs w:val="21"/>
                <w:highlight w:val="none"/>
                <w:lang w:val="en-US" w:eastAsia="zh-CN" w:bidi="ar"/>
              </w:rPr>
              <w:t xml:space="preserve">                                                                                                                                     </w:t>
            </w:r>
          </w:p>
        </w:tc>
      </w:tr>
      <w:tr w14:paraId="71C5F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15684F0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1.4.3</w:t>
            </w:r>
          </w:p>
        </w:tc>
        <w:tc>
          <w:tcPr>
            <w:tcW w:w="1077" w:type="pct"/>
            <w:tcBorders>
              <w:top w:val="single" w:color="000000" w:sz="4" w:space="0"/>
              <w:left w:val="single" w:color="000000" w:sz="4" w:space="0"/>
              <w:bottom w:val="single" w:color="000000" w:sz="4" w:space="0"/>
              <w:right w:val="single" w:color="000000" w:sz="4" w:space="0"/>
            </w:tcBorders>
            <w:noWrap w:val="0"/>
            <w:vAlign w:val="center"/>
          </w:tcPr>
          <w:p w14:paraId="562D67E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微软雅黑" w:hAnsi="微软雅黑" w:eastAsia="微软雅黑" w:cs="微软雅黑"/>
                <w:color w:val="auto"/>
                <w:sz w:val="22"/>
                <w:szCs w:val="22"/>
                <w:highlight w:val="none"/>
              </w:rPr>
              <w:t>▲</w:t>
            </w:r>
            <w:r>
              <w:rPr>
                <w:rFonts w:hint="eastAsia" w:ascii="宋体" w:hAnsi="宋体" w:eastAsia="宋体" w:cs="宋体"/>
                <w:i w:val="0"/>
                <w:iCs w:val="0"/>
                <w:color w:val="auto"/>
                <w:kern w:val="0"/>
                <w:sz w:val="21"/>
                <w:szCs w:val="21"/>
                <w:highlight w:val="none"/>
                <w:u w:val="none"/>
                <w:lang w:val="en-US" w:eastAsia="zh-CN" w:bidi="ar"/>
              </w:rPr>
              <w:t>记录方式</w:t>
            </w:r>
          </w:p>
        </w:tc>
        <w:tc>
          <w:tcPr>
            <w:tcW w:w="3331" w:type="pct"/>
            <w:tcBorders>
              <w:top w:val="single" w:color="000000" w:sz="4" w:space="0"/>
              <w:left w:val="single" w:color="000000" w:sz="4" w:space="0"/>
              <w:bottom w:val="single" w:color="000000" w:sz="4" w:space="0"/>
              <w:right w:val="single" w:color="000000" w:sz="4" w:space="0"/>
            </w:tcBorders>
            <w:noWrap w:val="0"/>
            <w:vAlign w:val="center"/>
          </w:tcPr>
          <w:p w14:paraId="7D3B976B">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Style w:val="31"/>
                <w:rFonts w:hint="eastAsia" w:ascii="宋体" w:hAnsi="宋体" w:eastAsia="宋体" w:cs="宋体"/>
                <w:b w:val="0"/>
                <w:bCs w:val="0"/>
                <w:color w:val="auto"/>
                <w:sz w:val="21"/>
                <w:szCs w:val="21"/>
                <w:highlight w:val="none"/>
                <w:lang w:val="en-US" w:eastAsia="zh-CN" w:bidi="ar"/>
              </w:rPr>
              <w:t>色带打印机记录：</w:t>
            </w:r>
            <w:r>
              <w:rPr>
                <w:rStyle w:val="32"/>
                <w:rFonts w:hint="eastAsia" w:ascii="宋体" w:hAnsi="宋体" w:eastAsia="宋体" w:cs="宋体"/>
                <w:b w:val="0"/>
                <w:bCs w:val="0"/>
                <w:color w:val="auto"/>
                <w:sz w:val="21"/>
                <w:szCs w:val="21"/>
                <w:highlight w:val="none"/>
                <w:lang w:val="en-US" w:eastAsia="zh-CN" w:bidi="ar"/>
              </w:rPr>
              <w:t xml:space="preserve">内置打印机，可将程序运行过程中的相关信息打印出来 </w:t>
            </w:r>
            <w:r>
              <w:rPr>
                <w:rStyle w:val="32"/>
                <w:rFonts w:hint="eastAsia" w:ascii="宋体" w:hAnsi="宋体" w:eastAsia="宋体" w:cs="宋体"/>
                <w:color w:val="auto"/>
                <w:sz w:val="21"/>
                <w:szCs w:val="21"/>
                <w:highlight w:val="none"/>
                <w:lang w:val="en-US" w:eastAsia="zh-CN" w:bidi="ar"/>
              </w:rPr>
              <w:t xml:space="preserve">                                                                                                                </w:t>
            </w:r>
          </w:p>
        </w:tc>
      </w:tr>
      <w:tr w14:paraId="4646A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150905D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1.4.4</w:t>
            </w:r>
          </w:p>
        </w:tc>
        <w:tc>
          <w:tcPr>
            <w:tcW w:w="1077" w:type="pct"/>
            <w:tcBorders>
              <w:top w:val="single" w:color="000000" w:sz="4" w:space="0"/>
              <w:left w:val="single" w:color="000000" w:sz="4" w:space="0"/>
              <w:bottom w:val="single" w:color="000000" w:sz="4" w:space="0"/>
              <w:right w:val="single" w:color="000000" w:sz="4" w:space="0"/>
            </w:tcBorders>
            <w:noWrap w:val="0"/>
            <w:vAlign w:val="center"/>
          </w:tcPr>
          <w:p w14:paraId="727274C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显示内容</w:t>
            </w:r>
          </w:p>
        </w:tc>
        <w:tc>
          <w:tcPr>
            <w:tcW w:w="3331" w:type="pct"/>
            <w:tcBorders>
              <w:top w:val="single" w:color="000000" w:sz="4" w:space="0"/>
              <w:left w:val="single" w:color="000000" w:sz="4" w:space="0"/>
              <w:bottom w:val="single" w:color="auto" w:sz="4" w:space="0"/>
              <w:right w:val="single" w:color="000000" w:sz="4" w:space="0"/>
            </w:tcBorders>
            <w:noWrap w:val="0"/>
            <w:vAlign w:val="center"/>
          </w:tcPr>
          <w:p w14:paraId="732072A9">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Style w:val="35"/>
                <w:rFonts w:hint="eastAsia" w:ascii="宋体" w:hAnsi="宋体" w:eastAsia="宋体" w:cs="宋体"/>
                <w:color w:val="auto"/>
                <w:sz w:val="21"/>
                <w:szCs w:val="21"/>
                <w:highlight w:val="none"/>
                <w:lang w:val="en-US" w:eastAsia="zh-CN" w:bidi="ar"/>
              </w:rPr>
              <w:t xml:space="preserve">显示程序名称、程序流程、当前程序阶段、倒计时，温度、压力等                                                                                                                                                                             </w:t>
            </w:r>
          </w:p>
        </w:tc>
      </w:tr>
      <w:tr w14:paraId="7B210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1840BDE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1.4.5</w:t>
            </w:r>
          </w:p>
        </w:tc>
        <w:tc>
          <w:tcPr>
            <w:tcW w:w="1077" w:type="pct"/>
            <w:tcBorders>
              <w:top w:val="single" w:color="000000" w:sz="4" w:space="0"/>
              <w:left w:val="single" w:color="000000" w:sz="4" w:space="0"/>
              <w:bottom w:val="single" w:color="000000" w:sz="4" w:space="0"/>
              <w:right w:val="single" w:color="auto" w:sz="4" w:space="0"/>
            </w:tcBorders>
            <w:noWrap w:val="0"/>
            <w:vAlign w:val="center"/>
          </w:tcPr>
          <w:p w14:paraId="71AE2DF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记录内容</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4F1CAB03">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Style w:val="31"/>
                <w:rFonts w:hint="eastAsia" w:ascii="宋体" w:hAnsi="宋体" w:eastAsia="宋体" w:cs="宋体"/>
                <w:b w:val="0"/>
                <w:bCs w:val="0"/>
                <w:color w:val="auto"/>
                <w:sz w:val="21"/>
                <w:szCs w:val="21"/>
                <w:highlight w:val="none"/>
                <w:lang w:val="en-US" w:eastAsia="zh-CN" w:bidi="ar"/>
              </w:rPr>
              <w:t>灭菌过程参数：</w:t>
            </w:r>
            <w:r>
              <w:rPr>
                <w:rStyle w:val="32"/>
                <w:rFonts w:hint="eastAsia" w:ascii="宋体" w:hAnsi="宋体" w:eastAsia="宋体" w:cs="宋体"/>
                <w:b w:val="0"/>
                <w:bCs w:val="0"/>
                <w:color w:val="auto"/>
                <w:sz w:val="21"/>
                <w:szCs w:val="21"/>
                <w:highlight w:val="none"/>
                <w:lang w:val="en-US" w:eastAsia="zh-CN" w:bidi="ar"/>
              </w:rPr>
              <w:t>灭菌过程的温度、压力、时间、过程阶段、预置参数等均可使用内置热敏打印机进行打印；</w:t>
            </w:r>
            <w:r>
              <w:rPr>
                <w:rStyle w:val="32"/>
                <w:rFonts w:hint="eastAsia" w:ascii="宋体" w:hAnsi="宋体" w:eastAsia="宋体" w:cs="宋体"/>
                <w:b w:val="0"/>
                <w:bCs w:val="0"/>
                <w:color w:val="auto"/>
                <w:sz w:val="21"/>
                <w:szCs w:val="21"/>
                <w:highlight w:val="none"/>
                <w:lang w:val="en-US" w:eastAsia="zh-CN" w:bidi="ar"/>
              </w:rPr>
              <w:br w:type="textWrapping"/>
            </w:r>
            <w:r>
              <w:rPr>
                <w:rStyle w:val="32"/>
                <w:rFonts w:hint="eastAsia" w:ascii="宋体" w:hAnsi="宋体" w:eastAsia="宋体" w:cs="宋体"/>
                <w:b w:val="0"/>
                <w:bCs w:val="0"/>
                <w:color w:val="auto"/>
                <w:sz w:val="21"/>
                <w:szCs w:val="21"/>
                <w:highlight w:val="none"/>
                <w:lang w:val="en-US" w:eastAsia="zh-CN" w:bidi="ar"/>
              </w:rPr>
              <w:t>也可通过</w:t>
            </w:r>
            <w:r>
              <w:rPr>
                <w:rStyle w:val="31"/>
                <w:rFonts w:hint="eastAsia" w:ascii="宋体" w:hAnsi="宋体" w:eastAsia="宋体" w:cs="宋体"/>
                <w:b w:val="0"/>
                <w:bCs w:val="0"/>
                <w:color w:val="auto"/>
                <w:sz w:val="21"/>
                <w:szCs w:val="21"/>
                <w:highlight w:val="none"/>
                <w:lang w:val="en-US" w:eastAsia="zh-CN" w:bidi="ar"/>
              </w:rPr>
              <w:t>选配</w:t>
            </w:r>
            <w:r>
              <w:rPr>
                <w:rStyle w:val="32"/>
                <w:rFonts w:hint="eastAsia" w:ascii="宋体" w:hAnsi="宋体" w:eastAsia="宋体" w:cs="宋体"/>
                <w:b w:val="0"/>
                <w:bCs w:val="0"/>
                <w:color w:val="auto"/>
                <w:sz w:val="21"/>
                <w:szCs w:val="21"/>
                <w:highlight w:val="none"/>
                <w:lang w:val="en-US" w:eastAsia="zh-CN" w:bidi="ar"/>
              </w:rPr>
              <w:t>电脑监控软件，将数据保存在监控电脑上；</w:t>
            </w:r>
            <w:r>
              <w:rPr>
                <w:rStyle w:val="35"/>
                <w:rFonts w:hint="eastAsia" w:ascii="宋体" w:hAnsi="宋体" w:eastAsia="宋体" w:cs="宋体"/>
                <w:b w:val="0"/>
                <w:bCs w:val="0"/>
                <w:color w:val="auto"/>
                <w:sz w:val="21"/>
                <w:szCs w:val="21"/>
                <w:highlight w:val="none"/>
                <w:lang w:val="en-US" w:eastAsia="zh-CN" w:bidi="ar"/>
              </w:rPr>
              <w:t xml:space="preserve">                                                                                                                                     </w:t>
            </w:r>
            <w:r>
              <w:rPr>
                <w:rStyle w:val="35"/>
                <w:rFonts w:hint="eastAsia" w:ascii="宋体" w:hAnsi="宋体" w:eastAsia="宋体" w:cs="宋体"/>
                <w:b w:val="0"/>
                <w:bCs w:val="0"/>
                <w:color w:val="auto"/>
                <w:sz w:val="21"/>
                <w:szCs w:val="21"/>
                <w:highlight w:val="none"/>
                <w:lang w:val="en-US" w:eastAsia="zh-CN" w:bidi="ar"/>
              </w:rPr>
              <w:br w:type="textWrapping"/>
            </w:r>
            <w:r>
              <w:rPr>
                <w:rStyle w:val="31"/>
                <w:rFonts w:hint="eastAsia" w:ascii="宋体" w:hAnsi="宋体" w:eastAsia="宋体" w:cs="宋体"/>
                <w:b w:val="0"/>
                <w:bCs w:val="0"/>
                <w:color w:val="auto"/>
                <w:sz w:val="21"/>
                <w:szCs w:val="21"/>
                <w:highlight w:val="none"/>
                <w:lang w:val="en-US" w:eastAsia="zh-CN" w:bidi="ar"/>
              </w:rPr>
              <w:t>报警信息：</w:t>
            </w:r>
            <w:r>
              <w:rPr>
                <w:rStyle w:val="32"/>
                <w:rFonts w:hint="eastAsia" w:ascii="宋体" w:hAnsi="宋体" w:eastAsia="宋体" w:cs="宋体"/>
                <w:b w:val="0"/>
                <w:bCs w:val="0"/>
                <w:color w:val="auto"/>
                <w:sz w:val="21"/>
                <w:szCs w:val="21"/>
                <w:highlight w:val="none"/>
                <w:lang w:val="en-US" w:eastAsia="zh-CN" w:bidi="ar"/>
              </w:rPr>
              <w:t>程序运行过程中相关关键报警信息可在打印纸上打印</w:t>
            </w:r>
            <w:r>
              <w:rPr>
                <w:rStyle w:val="35"/>
                <w:rFonts w:hint="eastAsia" w:ascii="宋体" w:hAnsi="宋体" w:eastAsia="宋体" w:cs="宋体"/>
                <w:color w:val="auto"/>
                <w:sz w:val="21"/>
                <w:szCs w:val="21"/>
                <w:highlight w:val="none"/>
                <w:lang w:val="en-US" w:eastAsia="zh-CN" w:bidi="ar"/>
              </w:rPr>
              <w:t xml:space="preserve">    </w:t>
            </w:r>
          </w:p>
        </w:tc>
      </w:tr>
      <w:tr w14:paraId="59820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360604B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1.4.6</w:t>
            </w:r>
          </w:p>
        </w:tc>
        <w:tc>
          <w:tcPr>
            <w:tcW w:w="1077" w:type="pct"/>
            <w:tcBorders>
              <w:top w:val="single" w:color="000000" w:sz="4" w:space="0"/>
              <w:left w:val="single" w:color="000000" w:sz="4" w:space="0"/>
              <w:bottom w:val="single" w:color="000000" w:sz="4" w:space="0"/>
              <w:right w:val="single" w:color="auto" w:sz="4" w:space="0"/>
            </w:tcBorders>
            <w:noWrap w:val="0"/>
            <w:vAlign w:val="center"/>
          </w:tcPr>
          <w:p w14:paraId="4105828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权限管理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6AABE6E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多重权限</w:t>
            </w:r>
          </w:p>
        </w:tc>
      </w:tr>
      <w:tr w14:paraId="1973D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37E9DD8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1.4.7</w:t>
            </w:r>
          </w:p>
        </w:tc>
        <w:tc>
          <w:tcPr>
            <w:tcW w:w="1077" w:type="pct"/>
            <w:tcBorders>
              <w:top w:val="single" w:color="000000" w:sz="4" w:space="0"/>
              <w:left w:val="single" w:color="000000" w:sz="4" w:space="0"/>
              <w:bottom w:val="single" w:color="000000" w:sz="4" w:space="0"/>
              <w:right w:val="single" w:color="auto" w:sz="4" w:space="0"/>
            </w:tcBorders>
            <w:noWrap w:val="0"/>
            <w:vAlign w:val="center"/>
          </w:tcPr>
          <w:p w14:paraId="01C3451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安全保护</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26A1A995">
            <w:pPr>
              <w:rPr>
                <w:rFonts w:hint="eastAsia" w:ascii="宋体" w:hAnsi="宋体" w:eastAsia="宋体" w:cs="宋体"/>
                <w:b/>
                <w:bCs/>
                <w:i w:val="0"/>
                <w:iCs w:val="0"/>
                <w:color w:val="auto"/>
                <w:sz w:val="21"/>
                <w:szCs w:val="21"/>
                <w:highlight w:val="none"/>
                <w:u w:val="none"/>
              </w:rPr>
            </w:pPr>
            <w:r>
              <w:rPr>
                <w:rStyle w:val="31"/>
                <w:rFonts w:hint="eastAsia" w:ascii="宋体" w:hAnsi="宋体" w:eastAsia="宋体" w:cs="宋体"/>
                <w:b w:val="0"/>
                <w:bCs w:val="0"/>
                <w:color w:val="auto"/>
                <w:sz w:val="21"/>
                <w:szCs w:val="21"/>
                <w:highlight w:val="none"/>
                <w:lang w:val="en-US" w:eastAsia="zh-CN" w:bidi="ar"/>
              </w:rPr>
              <w:t>多种保护：超压保护、超温保护、</w:t>
            </w:r>
            <w:r>
              <w:rPr>
                <w:rFonts w:hint="eastAsia" w:ascii="宋体" w:hAnsi="宋体" w:eastAsia="宋体" w:cs="宋体"/>
                <w:color w:val="auto"/>
                <w:sz w:val="21"/>
                <w:szCs w:val="21"/>
                <w:highlight w:val="none"/>
              </w:rPr>
              <w:t>断水保护</w:t>
            </w:r>
            <w:r>
              <w:rPr>
                <w:rFonts w:hint="eastAsia" w:ascii="宋体" w:hAnsi="宋体" w:eastAsia="宋体" w:cs="宋体"/>
                <w:color w:val="auto"/>
                <w:sz w:val="21"/>
                <w:szCs w:val="21"/>
                <w:highlight w:val="none"/>
                <w:lang w:eastAsia="zh-CN"/>
              </w:rPr>
              <w:t>、</w:t>
            </w:r>
            <w:r>
              <w:rPr>
                <w:rStyle w:val="31"/>
                <w:rFonts w:hint="eastAsia" w:ascii="宋体" w:hAnsi="宋体" w:eastAsia="宋体" w:cs="宋体"/>
                <w:b w:val="0"/>
                <w:bCs w:val="0"/>
                <w:color w:val="auto"/>
                <w:sz w:val="21"/>
                <w:szCs w:val="21"/>
                <w:highlight w:val="none"/>
                <w:lang w:val="en-US" w:eastAsia="zh-CN" w:bidi="ar"/>
              </w:rPr>
              <w:t>门关位检测保护等</w:t>
            </w:r>
          </w:p>
        </w:tc>
      </w:tr>
      <w:tr w14:paraId="2CF4E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91" w:type="pct"/>
            <w:tcBorders>
              <w:top w:val="single" w:color="000000" w:sz="4" w:space="0"/>
              <w:left w:val="single" w:color="000000" w:sz="4" w:space="0"/>
              <w:bottom w:val="single" w:color="000000" w:sz="4" w:space="0"/>
              <w:right w:val="single" w:color="000000" w:sz="4" w:space="0"/>
            </w:tcBorders>
            <w:noWrap w:val="0"/>
            <w:vAlign w:val="center"/>
          </w:tcPr>
          <w:p w14:paraId="5A7D4E18">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1.5</w:t>
            </w:r>
          </w:p>
        </w:tc>
        <w:tc>
          <w:tcPr>
            <w:tcW w:w="4408" w:type="pct"/>
            <w:gridSpan w:val="2"/>
            <w:tcBorders>
              <w:top w:val="single" w:color="000000" w:sz="4" w:space="0"/>
              <w:left w:val="single" w:color="000000" w:sz="4" w:space="0"/>
              <w:bottom w:val="single" w:color="000000" w:sz="4" w:space="0"/>
              <w:right w:val="single" w:color="000000" w:sz="4" w:space="0"/>
            </w:tcBorders>
            <w:noWrap w:val="0"/>
            <w:vAlign w:val="center"/>
          </w:tcPr>
          <w:p w14:paraId="58665A89">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程序系统</w:t>
            </w:r>
          </w:p>
        </w:tc>
      </w:tr>
      <w:tr w14:paraId="264C1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8DC98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1.5.1</w:t>
            </w:r>
          </w:p>
        </w:tc>
        <w:tc>
          <w:tcPr>
            <w:tcW w:w="10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5C3A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程序种类及数量</w:t>
            </w:r>
          </w:p>
        </w:tc>
        <w:tc>
          <w:tcPr>
            <w:tcW w:w="3331" w:type="pct"/>
            <w:tcBorders>
              <w:top w:val="nil"/>
              <w:left w:val="single" w:color="000000" w:sz="4" w:space="0"/>
              <w:bottom w:val="single" w:color="000000" w:sz="4" w:space="0"/>
              <w:right w:val="single" w:color="000000" w:sz="4" w:space="0"/>
            </w:tcBorders>
            <w:shd w:val="clear" w:color="auto" w:fill="FFFFFF"/>
            <w:noWrap w:val="0"/>
            <w:vAlign w:val="center"/>
          </w:tcPr>
          <w:p w14:paraId="76708FE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套程序，</w:t>
            </w:r>
            <w:r>
              <w:rPr>
                <w:rFonts w:hint="eastAsia" w:ascii="宋体" w:hAnsi="宋体" w:eastAsia="宋体" w:cs="宋体"/>
                <w:color w:val="auto"/>
                <w:sz w:val="21"/>
                <w:szCs w:val="21"/>
                <w:highlight w:val="none"/>
              </w:rPr>
              <w:t>器械、敷料、BD测试、</w:t>
            </w:r>
            <w:r>
              <w:rPr>
                <w:rFonts w:hint="eastAsia" w:ascii="宋体" w:hAnsi="宋体" w:eastAsia="宋体" w:cs="宋体"/>
                <w:color w:val="auto"/>
                <w:sz w:val="21"/>
                <w:szCs w:val="21"/>
                <w:highlight w:val="none"/>
                <w:lang w:val="en-US" w:eastAsia="zh-CN"/>
              </w:rPr>
              <w:t>测</w:t>
            </w:r>
            <w:r>
              <w:rPr>
                <w:rFonts w:hint="eastAsia" w:ascii="宋体" w:hAnsi="宋体" w:eastAsia="宋体" w:cs="宋体"/>
                <w:color w:val="auto"/>
                <w:sz w:val="21"/>
                <w:szCs w:val="21"/>
                <w:highlight w:val="none"/>
              </w:rPr>
              <w:t>漏、重载、特殊感染等固定程序</w:t>
            </w:r>
          </w:p>
        </w:tc>
      </w:tr>
      <w:tr w14:paraId="35C70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38547C4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1.5.2</w:t>
            </w:r>
          </w:p>
        </w:tc>
        <w:tc>
          <w:tcPr>
            <w:tcW w:w="1077"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5295DB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程序运行时间</w:t>
            </w:r>
          </w:p>
        </w:tc>
        <w:tc>
          <w:tcPr>
            <w:tcW w:w="3331" w:type="pct"/>
            <w:tcBorders>
              <w:top w:val="nil"/>
              <w:left w:val="single" w:color="000000" w:sz="4" w:space="0"/>
              <w:bottom w:val="single" w:color="auto" w:sz="4" w:space="0"/>
              <w:right w:val="single" w:color="000000" w:sz="4" w:space="0"/>
            </w:tcBorders>
            <w:shd w:val="clear" w:color="auto" w:fill="FFFFFF"/>
            <w:noWrap w:val="0"/>
            <w:vAlign w:val="center"/>
          </w:tcPr>
          <w:p w14:paraId="7E13657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标准循环:≦55分钟</w:t>
            </w:r>
          </w:p>
        </w:tc>
      </w:tr>
      <w:tr w14:paraId="4A3FF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59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95BBA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1.5.3</w:t>
            </w:r>
          </w:p>
        </w:tc>
        <w:tc>
          <w:tcPr>
            <w:tcW w:w="107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03771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微软雅黑" w:hAnsi="微软雅黑" w:eastAsia="微软雅黑" w:cs="微软雅黑"/>
                <w:color w:val="auto"/>
                <w:sz w:val="22"/>
                <w:szCs w:val="22"/>
                <w:highlight w:val="none"/>
              </w:rPr>
              <w:t>▲</w:t>
            </w:r>
            <w:r>
              <w:rPr>
                <w:rFonts w:hint="eastAsia" w:ascii="宋体" w:hAnsi="宋体" w:eastAsia="宋体" w:cs="宋体"/>
                <w:i w:val="0"/>
                <w:iCs w:val="0"/>
                <w:color w:val="auto"/>
                <w:kern w:val="0"/>
                <w:sz w:val="21"/>
                <w:szCs w:val="21"/>
                <w:highlight w:val="none"/>
                <w:u w:val="none"/>
                <w:lang w:val="en-US" w:eastAsia="zh-CN" w:bidi="ar"/>
              </w:rPr>
              <w:t>脉动次数</w:t>
            </w:r>
          </w:p>
        </w:tc>
        <w:tc>
          <w:tcPr>
            <w:tcW w:w="333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FE9A55">
            <w:pPr>
              <w:keepNext w:val="0"/>
              <w:keepLines w:val="0"/>
              <w:widowControl/>
              <w:suppressLineNumbers w:val="0"/>
              <w:jc w:val="left"/>
              <w:textAlignment w:val="center"/>
              <w:rPr>
                <w:rFonts w:hint="default" w:ascii="宋体" w:hAnsi="宋体" w:eastAsia="宋体" w:cs="宋体"/>
                <w:i w:val="0"/>
                <w:iCs w:val="0"/>
                <w:color w:val="auto"/>
                <w:sz w:val="21"/>
                <w:szCs w:val="21"/>
                <w:highlight w:val="none"/>
                <w:u w:val="none"/>
                <w:lang w:val="en-US"/>
              </w:rPr>
            </w:pPr>
            <w:r>
              <w:rPr>
                <w:rStyle w:val="32"/>
                <w:rFonts w:hint="eastAsia" w:ascii="宋体" w:hAnsi="宋体" w:eastAsia="宋体" w:cs="宋体"/>
                <w:color w:val="auto"/>
                <w:sz w:val="21"/>
                <w:szCs w:val="21"/>
                <w:highlight w:val="none"/>
                <w:lang w:val="en-US" w:eastAsia="zh-CN" w:bidi="ar"/>
              </w:rPr>
              <w:t>标准循环：</w:t>
            </w:r>
            <w:r>
              <w:rPr>
                <w:rStyle w:val="35"/>
                <w:rFonts w:hint="eastAsia" w:ascii="宋体" w:hAnsi="宋体" w:eastAsia="宋体" w:cs="宋体"/>
                <w:b w:val="0"/>
                <w:bCs w:val="0"/>
                <w:color w:val="auto"/>
                <w:sz w:val="21"/>
                <w:szCs w:val="21"/>
                <w:highlight w:val="none"/>
                <w:lang w:val="en-US" w:eastAsia="zh-CN" w:bidi="ar"/>
              </w:rPr>
              <w:t>3</w:t>
            </w:r>
            <w:r>
              <w:rPr>
                <w:rStyle w:val="32"/>
                <w:rFonts w:hint="eastAsia" w:ascii="宋体" w:hAnsi="宋体" w:eastAsia="宋体" w:cs="宋体"/>
                <w:color w:val="auto"/>
                <w:sz w:val="21"/>
                <w:szCs w:val="21"/>
                <w:highlight w:val="none"/>
                <w:lang w:val="en-US" w:eastAsia="zh-CN" w:bidi="ar"/>
              </w:rPr>
              <w:t>次负压脉动，</w:t>
            </w:r>
            <w:r>
              <w:rPr>
                <w:rStyle w:val="35"/>
                <w:rFonts w:hint="eastAsia" w:ascii="宋体" w:hAnsi="宋体" w:eastAsia="宋体" w:cs="宋体"/>
                <w:color w:val="auto"/>
                <w:sz w:val="21"/>
                <w:szCs w:val="21"/>
                <w:highlight w:val="none"/>
                <w:lang w:val="en-US" w:eastAsia="zh-CN" w:bidi="ar"/>
              </w:rPr>
              <w:t>1</w:t>
            </w:r>
            <w:r>
              <w:rPr>
                <w:rStyle w:val="32"/>
                <w:rFonts w:hint="eastAsia" w:ascii="宋体" w:hAnsi="宋体" w:eastAsia="宋体" w:cs="宋体"/>
                <w:color w:val="auto"/>
                <w:sz w:val="21"/>
                <w:szCs w:val="21"/>
                <w:highlight w:val="none"/>
                <w:lang w:val="en-US" w:eastAsia="zh-CN" w:bidi="ar"/>
              </w:rPr>
              <w:t>次跨压脉动，</w:t>
            </w:r>
            <w:r>
              <w:rPr>
                <w:rStyle w:val="35"/>
                <w:rFonts w:hint="eastAsia" w:ascii="宋体" w:hAnsi="宋体" w:eastAsia="宋体" w:cs="宋体"/>
                <w:color w:val="auto"/>
                <w:sz w:val="21"/>
                <w:szCs w:val="21"/>
                <w:highlight w:val="none"/>
                <w:lang w:val="en-US" w:eastAsia="zh-CN" w:bidi="ar"/>
              </w:rPr>
              <w:t>3</w:t>
            </w:r>
            <w:r>
              <w:rPr>
                <w:rStyle w:val="32"/>
                <w:rFonts w:hint="eastAsia" w:ascii="宋体" w:hAnsi="宋体" w:eastAsia="宋体" w:cs="宋体"/>
                <w:color w:val="auto"/>
                <w:sz w:val="21"/>
                <w:szCs w:val="21"/>
                <w:highlight w:val="none"/>
                <w:lang w:val="en-US" w:eastAsia="zh-CN" w:bidi="ar"/>
              </w:rPr>
              <w:t>次正压脉动。脉动次数设定范围：</w:t>
            </w:r>
            <w:r>
              <w:rPr>
                <w:rStyle w:val="35"/>
                <w:rFonts w:hint="eastAsia" w:ascii="宋体" w:hAnsi="宋体" w:eastAsia="宋体" w:cs="宋体"/>
                <w:color w:val="auto"/>
                <w:sz w:val="21"/>
                <w:szCs w:val="21"/>
                <w:highlight w:val="none"/>
                <w:lang w:val="en-US" w:eastAsia="zh-CN" w:bidi="ar"/>
              </w:rPr>
              <w:t>0</w:t>
            </w:r>
            <w:r>
              <w:rPr>
                <w:rStyle w:val="32"/>
                <w:rFonts w:hint="eastAsia" w:ascii="宋体" w:hAnsi="宋体" w:eastAsia="宋体" w:cs="宋体"/>
                <w:color w:val="auto"/>
                <w:sz w:val="21"/>
                <w:szCs w:val="21"/>
                <w:highlight w:val="none"/>
                <w:lang w:val="en-US" w:eastAsia="zh-CN" w:bidi="ar"/>
              </w:rPr>
              <w:t>～</w:t>
            </w:r>
            <w:r>
              <w:rPr>
                <w:rStyle w:val="35"/>
                <w:rFonts w:hint="eastAsia" w:ascii="宋体" w:hAnsi="宋体" w:eastAsia="宋体" w:cs="宋体"/>
                <w:color w:val="auto"/>
                <w:sz w:val="21"/>
                <w:szCs w:val="21"/>
                <w:highlight w:val="none"/>
                <w:lang w:val="en-US" w:eastAsia="zh-CN" w:bidi="ar"/>
              </w:rPr>
              <w:t>99</w:t>
            </w:r>
            <w:r>
              <w:rPr>
                <w:rStyle w:val="32"/>
                <w:rFonts w:hint="eastAsia" w:ascii="宋体" w:hAnsi="宋体" w:eastAsia="宋体" w:cs="宋体"/>
                <w:color w:val="auto"/>
                <w:sz w:val="21"/>
                <w:szCs w:val="21"/>
                <w:highlight w:val="none"/>
                <w:lang w:val="en-US" w:eastAsia="zh-CN" w:bidi="ar"/>
              </w:rPr>
              <w:t>次可设</w:t>
            </w:r>
            <w:r>
              <w:rPr>
                <w:rStyle w:val="32"/>
                <w:rFonts w:hint="eastAsia" w:ascii="宋体" w:hAnsi="宋体" w:cs="宋体"/>
                <w:color w:val="auto"/>
                <w:sz w:val="21"/>
                <w:szCs w:val="21"/>
                <w:highlight w:val="none"/>
                <w:lang w:val="en-US" w:eastAsia="zh-CN" w:bidi="ar"/>
              </w:rPr>
              <w:t>，提供设备打印记录</w:t>
            </w:r>
          </w:p>
        </w:tc>
      </w:tr>
      <w:tr w14:paraId="16BA4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59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EE7AAC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1.5.4</w:t>
            </w:r>
          </w:p>
        </w:tc>
        <w:tc>
          <w:tcPr>
            <w:tcW w:w="107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47CD5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灭菌温度</w:t>
            </w:r>
          </w:p>
        </w:tc>
        <w:tc>
          <w:tcPr>
            <w:tcW w:w="333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A4D3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rFonts w:hint="eastAsia" w:ascii="宋体" w:hAnsi="宋体" w:eastAsia="宋体" w:cs="宋体"/>
                <w:color w:val="auto"/>
                <w:sz w:val="21"/>
                <w:szCs w:val="21"/>
                <w:highlight w:val="none"/>
                <w:lang w:val="en-US" w:eastAsia="zh-CN" w:bidi="ar"/>
              </w:rPr>
              <w:t>标准循环：121℃和134℃，灭菌温度设定范围：100～138℃可设</w:t>
            </w:r>
          </w:p>
        </w:tc>
      </w:tr>
      <w:tr w14:paraId="75925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59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A6772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w:t>
            </w:r>
          </w:p>
        </w:tc>
        <w:tc>
          <w:tcPr>
            <w:tcW w:w="107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8D280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灭菌时间</w:t>
            </w:r>
          </w:p>
        </w:tc>
        <w:tc>
          <w:tcPr>
            <w:tcW w:w="333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B12F0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 w:val="21"/>
                <w:szCs w:val="21"/>
                <w:highlight w:val="none"/>
                <w:lang w:val="en-US" w:eastAsia="zh-CN" w:bidi="ar"/>
              </w:rPr>
              <w:t>主要杀菌因子强度：121℃灭菌，灭菌时间≤20min;134℃灭菌，灭菌时间≤5min，提供通过全国消毒产品网上备案信息服务平台认可的检测报告证明</w:t>
            </w:r>
            <w:r>
              <w:rPr>
                <w:rStyle w:val="35"/>
                <w:rFonts w:hint="eastAsia" w:ascii="宋体" w:hAnsi="宋体" w:eastAsia="宋体" w:cs="宋体"/>
                <w:color w:val="auto"/>
                <w:sz w:val="21"/>
                <w:szCs w:val="21"/>
                <w:highlight w:val="none"/>
                <w:lang w:val="en-US" w:eastAsia="zh-CN" w:bidi="ar"/>
              </w:rPr>
              <w:t xml:space="preserve">       </w:t>
            </w:r>
          </w:p>
        </w:tc>
      </w:tr>
      <w:tr w14:paraId="6AF97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591"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2FBBF79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1.5.6</w:t>
            </w:r>
          </w:p>
        </w:tc>
        <w:tc>
          <w:tcPr>
            <w:tcW w:w="1077"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47CEC49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干燥时间</w:t>
            </w:r>
          </w:p>
        </w:tc>
        <w:tc>
          <w:tcPr>
            <w:tcW w:w="3331" w:type="pct"/>
            <w:tcBorders>
              <w:top w:val="single" w:color="auto" w:sz="4" w:space="0"/>
              <w:left w:val="single" w:color="000000" w:sz="4" w:space="0"/>
              <w:bottom w:val="nil"/>
              <w:right w:val="single" w:color="000000" w:sz="4" w:space="0"/>
            </w:tcBorders>
            <w:shd w:val="clear" w:color="auto" w:fill="FFFFFF"/>
            <w:noWrap w:val="0"/>
            <w:vAlign w:val="center"/>
          </w:tcPr>
          <w:p w14:paraId="0DD2D2C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32"/>
                <w:color w:val="auto"/>
                <w:highlight w:val="none"/>
                <w:lang w:val="en-US" w:eastAsia="zh-CN" w:bidi="ar"/>
              </w:rPr>
              <w:t>干燥时间设定范围：0～9999秒可设</w:t>
            </w:r>
          </w:p>
        </w:tc>
      </w:tr>
      <w:tr w14:paraId="69FE3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8A4C3A">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1.5.7</w:t>
            </w:r>
          </w:p>
        </w:tc>
        <w:tc>
          <w:tcPr>
            <w:tcW w:w="10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1DD5F7">
            <w:pPr>
              <w:keepNext w:val="0"/>
              <w:keepLines w:val="0"/>
              <w:widowControl/>
              <w:suppressLineNumbers w:val="0"/>
              <w:jc w:val="left"/>
              <w:textAlignment w:val="center"/>
              <w:rPr>
                <w:rStyle w:val="32"/>
                <w:rFonts w:hint="eastAsia" w:ascii="宋体" w:hAnsi="宋体" w:eastAsia="宋体" w:cs="宋体"/>
                <w:color w:val="auto"/>
                <w:sz w:val="21"/>
                <w:szCs w:val="21"/>
                <w:highlight w:val="none"/>
                <w:lang w:val="en-US" w:eastAsia="zh-CN" w:bidi="ar"/>
              </w:rPr>
            </w:pPr>
            <w:r>
              <w:rPr>
                <w:rFonts w:hint="eastAsia" w:ascii="微软雅黑" w:hAnsi="微软雅黑" w:eastAsia="微软雅黑" w:cs="微软雅黑"/>
                <w:color w:val="auto"/>
                <w:sz w:val="24"/>
                <w:szCs w:val="24"/>
                <w:highlight w:val="none"/>
              </w:rPr>
              <w:t>▲</w:t>
            </w:r>
            <w:r>
              <w:rPr>
                <w:rFonts w:hint="eastAsia" w:ascii="宋体" w:hAnsi="宋体" w:eastAsia="宋体" w:cs="宋体"/>
                <w:color w:val="auto"/>
                <w:sz w:val="21"/>
                <w:szCs w:val="21"/>
                <w:highlight w:val="none"/>
                <w:lang w:val="en-US" w:eastAsia="zh-CN"/>
              </w:rPr>
              <w:t>测漏实验</w:t>
            </w:r>
          </w:p>
        </w:tc>
        <w:tc>
          <w:tcPr>
            <w:tcW w:w="3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27A77">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物理记录单上有显示泄露率或者合格、不合格</w:t>
            </w:r>
          </w:p>
        </w:tc>
      </w:tr>
      <w:tr w14:paraId="3C740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6F64F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w:t>
            </w:r>
          </w:p>
        </w:tc>
        <w:tc>
          <w:tcPr>
            <w:tcW w:w="440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3BE14">
            <w:pPr>
              <w:keepNext w:val="0"/>
              <w:keepLines w:val="0"/>
              <w:widowControl/>
              <w:suppressLineNumbers w:val="0"/>
              <w:jc w:val="left"/>
              <w:textAlignment w:val="center"/>
              <w:rPr>
                <w:rStyle w:val="32"/>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w:t>
            </w:r>
            <w:r>
              <w:rPr>
                <w:rStyle w:val="32"/>
                <w:rFonts w:hint="eastAsia" w:ascii="宋体" w:hAnsi="宋体" w:eastAsia="宋体" w:cs="宋体"/>
                <w:color w:val="auto"/>
                <w:sz w:val="21"/>
                <w:szCs w:val="21"/>
                <w:highlight w:val="none"/>
                <w:lang w:val="en-US" w:eastAsia="zh-CN" w:bidi="ar"/>
              </w:rPr>
              <w:t>提供生产厂家特种设备压力容器生产许可证；因现场部分蒸汽管路改造，生产厂家需提供压力管道安装设计许可证</w:t>
            </w:r>
          </w:p>
        </w:tc>
      </w:tr>
      <w:tr w14:paraId="12C2E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8B8FD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w:t>
            </w:r>
          </w:p>
        </w:tc>
        <w:tc>
          <w:tcPr>
            <w:tcW w:w="440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04185F">
            <w:pPr>
              <w:keepNext w:val="0"/>
              <w:keepLines w:val="0"/>
              <w:widowControl/>
              <w:suppressLineNumbers w:val="0"/>
              <w:jc w:val="left"/>
              <w:textAlignment w:val="center"/>
              <w:rPr>
                <w:rStyle w:val="32"/>
                <w:rFonts w:hint="eastAsia" w:ascii="宋体" w:hAnsi="宋体" w:eastAsia="宋体" w:cs="宋体"/>
                <w:color w:val="auto"/>
                <w:sz w:val="21"/>
                <w:szCs w:val="21"/>
                <w:highlight w:val="none"/>
                <w:lang w:val="en-US" w:eastAsia="zh-CN" w:bidi="ar"/>
              </w:rPr>
            </w:pPr>
            <w:r>
              <w:rPr>
                <w:rStyle w:val="32"/>
                <w:rFonts w:hint="eastAsia" w:ascii="宋体" w:hAnsi="宋体" w:eastAsia="宋体" w:cs="宋体"/>
                <w:color w:val="auto"/>
                <w:sz w:val="21"/>
                <w:szCs w:val="21"/>
                <w:highlight w:val="none"/>
                <w:lang w:val="en-US" w:eastAsia="zh-CN" w:bidi="ar"/>
              </w:rPr>
              <w:t>根据新规ws310-2016对高温灭菌器物理参数的监测要求，生产厂家应取得实验室认可权威机构—中国合格评定国家认可委员会CNAS资质，可对灭菌器进行定期监测，须提供证书资质予以佐证</w:t>
            </w:r>
          </w:p>
        </w:tc>
      </w:tr>
      <w:tr w14:paraId="1CAB7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288E9">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w:t>
            </w:r>
          </w:p>
        </w:tc>
        <w:tc>
          <w:tcPr>
            <w:tcW w:w="440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4A0E58">
            <w:pPr>
              <w:keepNext w:val="0"/>
              <w:keepLines w:val="0"/>
              <w:widowControl/>
              <w:suppressLineNumbers w:val="0"/>
              <w:jc w:val="left"/>
              <w:textAlignment w:val="center"/>
              <w:rPr>
                <w:rStyle w:val="32"/>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厂家负责安装、调试及操作人员培训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出现故障时</w:t>
            </w:r>
            <w:r>
              <w:rPr>
                <w:rFonts w:hint="eastAsia" w:ascii="宋体" w:hAnsi="宋体" w:eastAsia="宋体" w:cs="宋体"/>
                <w:color w:val="auto"/>
                <w:sz w:val="21"/>
                <w:szCs w:val="21"/>
                <w:highlight w:val="none"/>
              </w:rPr>
              <w:t>24小时</w:t>
            </w:r>
            <w:r>
              <w:rPr>
                <w:rFonts w:hint="eastAsia" w:ascii="宋体" w:hAnsi="宋体" w:eastAsia="宋体" w:cs="宋体"/>
                <w:color w:val="auto"/>
                <w:sz w:val="21"/>
                <w:szCs w:val="21"/>
                <w:highlight w:val="none"/>
                <w:lang w:val="en-US" w:eastAsia="zh-CN"/>
              </w:rPr>
              <w:t>内解决</w:t>
            </w:r>
          </w:p>
        </w:tc>
      </w:tr>
    </w:tbl>
    <w:p w14:paraId="4A20EB15">
      <w:pPr>
        <w:pStyle w:val="7"/>
        <w:rPr>
          <w:rFonts w:hint="eastAsia" w:ascii="宋体" w:hAnsi="宋体" w:eastAsia="宋体" w:cs="宋体"/>
          <w:b/>
          <w:bCs/>
          <w:i w:val="0"/>
          <w:iCs w:val="0"/>
          <w:color w:val="auto"/>
          <w:kern w:val="0"/>
          <w:sz w:val="24"/>
          <w:szCs w:val="24"/>
          <w:highlight w:val="none"/>
          <w:u w:val="none"/>
          <w:lang w:val="en-US" w:eastAsia="zh-CN" w:bidi="ar"/>
        </w:rPr>
      </w:pPr>
    </w:p>
    <w:p w14:paraId="360E526E">
      <w:pPr>
        <w:keepNext w:val="0"/>
        <w:keepLines w:val="0"/>
        <w:widowControl/>
        <w:suppressLineNumbers w:val="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2）减压沸腾清洗机参数</w:t>
      </w:r>
    </w:p>
    <w:tbl>
      <w:tblPr>
        <w:tblStyle w:val="14"/>
        <w:tblW w:w="509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0"/>
        <w:gridCol w:w="2532"/>
        <w:gridCol w:w="6819"/>
      </w:tblGrid>
      <w:tr w14:paraId="243B1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D6B3D31">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9A62EC4">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容积</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25B5A581">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≥150L</w:t>
            </w:r>
          </w:p>
        </w:tc>
      </w:tr>
      <w:tr w14:paraId="6ED07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273E40A">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73C72F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装载量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31C2BA50">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10个与现使用标准器械框（4</w:t>
            </w:r>
            <w:r>
              <w:rPr>
                <w:rFonts w:hint="eastAsia" w:ascii="宋体" w:hAnsi="宋体" w:cs="宋体"/>
                <w:i w:val="0"/>
                <w:iCs w:val="0"/>
                <w:color w:val="auto"/>
                <w:kern w:val="0"/>
                <w:sz w:val="21"/>
                <w:szCs w:val="21"/>
                <w:highlight w:val="none"/>
                <w:u w:val="none"/>
                <w:lang w:val="en-US" w:eastAsia="zh-CN" w:bidi="ar"/>
              </w:rPr>
              <w:t>8</w:t>
            </w:r>
            <w:r>
              <w:rPr>
                <w:rFonts w:hint="eastAsia" w:ascii="宋体" w:hAnsi="宋体" w:eastAsia="宋体" w:cs="宋体"/>
                <w:i w:val="0"/>
                <w:iCs w:val="0"/>
                <w:color w:val="auto"/>
                <w:kern w:val="0"/>
                <w:sz w:val="21"/>
                <w:szCs w:val="21"/>
                <w:highlight w:val="none"/>
                <w:u w:val="none"/>
                <w:lang w:val="en-US" w:eastAsia="zh-CN" w:bidi="ar"/>
              </w:rPr>
              <w:t>0×2</w:t>
            </w:r>
            <w:r>
              <w:rPr>
                <w:rFonts w:hint="eastAsia" w:ascii="宋体" w:hAnsi="宋体"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0×50mm）相兼容</w:t>
            </w:r>
          </w:p>
        </w:tc>
      </w:tr>
      <w:tr w14:paraId="47F8B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528CD05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716E49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装载方式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29DAE2CA">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置于托盘内堆叠摆放或直接置于槽内清洗，无需专用</w:t>
            </w:r>
            <w:r>
              <w:rPr>
                <w:rFonts w:hint="eastAsia" w:ascii="宋体" w:hAnsi="宋体" w:cs="宋体"/>
                <w:i w:val="0"/>
                <w:iCs w:val="0"/>
                <w:color w:val="auto"/>
                <w:kern w:val="0"/>
                <w:sz w:val="21"/>
                <w:szCs w:val="21"/>
                <w:highlight w:val="none"/>
                <w:u w:val="none"/>
                <w:lang w:val="en-US" w:eastAsia="zh-CN" w:bidi="ar"/>
              </w:rPr>
              <w:t>清洗架对接</w:t>
            </w:r>
          </w:p>
        </w:tc>
      </w:tr>
      <w:tr w14:paraId="6492D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3B822AD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70C61606">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材质要求</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15ED631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外罩：拉丝板</w:t>
            </w:r>
          </w:p>
        </w:tc>
      </w:tr>
      <w:tr w14:paraId="68289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F10FDB6">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w:t>
            </w: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701755">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5FA7E93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清洗舱：≥316L不锈钢</w:t>
            </w:r>
          </w:p>
        </w:tc>
      </w:tr>
      <w:tr w14:paraId="66619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2EF5D64">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C944D0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舱体保温</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015643C6">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采用阻燃材料</w:t>
            </w:r>
          </w:p>
        </w:tc>
      </w:tr>
      <w:tr w14:paraId="41439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493822D7">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CAC57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噪音</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03EDF2A3">
            <w:pP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正常运行时，应不大于70dB</w:t>
            </w:r>
          </w:p>
        </w:tc>
      </w:tr>
      <w:tr w14:paraId="4E1A9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5670B274">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2CC660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密封门密封方式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2DB9917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压缩气主动密封</w:t>
            </w:r>
          </w:p>
        </w:tc>
      </w:tr>
      <w:tr w14:paraId="50EF1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58B6DF2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20BF5F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门数量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7878014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双门</w:t>
            </w:r>
          </w:p>
        </w:tc>
      </w:tr>
      <w:tr w14:paraId="31C76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2331DCD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F73F91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玻璃视窗</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1DDEC11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双面玻璃窗，为方便观察舱内运行情况</w:t>
            </w:r>
          </w:p>
        </w:tc>
      </w:tr>
      <w:tr w14:paraId="6CAD9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10802FF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566DC85">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开门形式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2E10EE7A">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升降门带门障碍开关，遇障碍自动返回</w:t>
            </w:r>
          </w:p>
        </w:tc>
      </w:tr>
      <w:tr w14:paraId="4E174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75FCEFB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70894E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加热方式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02B60B5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蒸汽加热</w:t>
            </w:r>
          </w:p>
        </w:tc>
      </w:tr>
      <w:tr w14:paraId="4E619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1E42022E">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E09D23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清洗方式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1BCB8F45">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负压清洗、煮沸消毒、真空干燥、热风干燥</w:t>
            </w:r>
          </w:p>
        </w:tc>
      </w:tr>
      <w:tr w14:paraId="02A1D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AE5B221">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E760F1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微软雅黑" w:hAnsi="微软雅黑" w:eastAsia="微软雅黑" w:cs="微软雅黑"/>
                <w:color w:val="auto"/>
                <w:sz w:val="22"/>
                <w:szCs w:val="22"/>
                <w:highlight w:val="none"/>
              </w:rPr>
              <w:t>▲</w:t>
            </w:r>
            <w:r>
              <w:rPr>
                <w:rFonts w:hint="eastAsia" w:ascii="宋体" w:hAnsi="宋体" w:eastAsia="宋体" w:cs="宋体"/>
                <w:i w:val="0"/>
                <w:iCs w:val="0"/>
                <w:color w:val="auto"/>
                <w:kern w:val="0"/>
                <w:sz w:val="21"/>
                <w:szCs w:val="21"/>
                <w:highlight w:val="none"/>
                <w:u w:val="none"/>
                <w:lang w:val="en-US" w:eastAsia="zh-CN" w:bidi="ar"/>
              </w:rPr>
              <w:t>使用寿命</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5CCD516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≥10年或≥15000次循环</w:t>
            </w:r>
          </w:p>
        </w:tc>
      </w:tr>
      <w:tr w14:paraId="424B9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18BE7410">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DA7490F">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功能范围</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71A0EB0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腔镜器械、基础手术器械、管腔类器械、骨科器械、麻醉器械、牙科手机、眼科器械等器械以及外来器械的清洗、消毒和干燥</w:t>
            </w:r>
          </w:p>
        </w:tc>
      </w:tr>
      <w:tr w14:paraId="419A3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43B6AFEC">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7C34F31">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消毒程序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2C41ECB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A0值</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3000</w:t>
            </w:r>
          </w:p>
        </w:tc>
      </w:tr>
      <w:tr w14:paraId="56783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07B9AD5">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9CB3271">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运行周期</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7DC0E3A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高液位管腔器械程序</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cs="宋体"/>
                <w:i w:val="0"/>
                <w:iCs w:val="0"/>
                <w:color w:val="auto"/>
                <w:kern w:val="0"/>
                <w:sz w:val="21"/>
                <w:szCs w:val="21"/>
                <w:highlight w:val="none"/>
                <w:u w:val="none"/>
                <w:lang w:val="en-US" w:eastAsia="zh-CN" w:bidi="ar"/>
              </w:rPr>
              <w:t>55</w:t>
            </w:r>
            <w:r>
              <w:rPr>
                <w:rFonts w:hint="eastAsia" w:ascii="宋体" w:hAnsi="宋体" w:eastAsia="宋体" w:cs="宋体"/>
                <w:i w:val="0"/>
                <w:iCs w:val="0"/>
                <w:color w:val="auto"/>
                <w:kern w:val="0"/>
                <w:sz w:val="21"/>
                <w:szCs w:val="21"/>
                <w:highlight w:val="none"/>
                <w:u w:val="none"/>
                <w:lang w:val="en-US" w:eastAsia="zh-CN" w:bidi="ar"/>
              </w:rPr>
              <w:t>分钟，提供打印报告证明</w:t>
            </w:r>
          </w:p>
        </w:tc>
      </w:tr>
      <w:tr w14:paraId="6DF72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1ACC88AA">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93A38C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液位可调</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70EA9459">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根据负载量多少，至少3级液位可调</w:t>
            </w:r>
          </w:p>
        </w:tc>
      </w:tr>
      <w:tr w14:paraId="164FB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2AA2E9D4">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9E6AEB6">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清洗液循环</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78E679A2">
            <w:pPr>
              <w:widowControl w:val="0"/>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抽真空回气次数≥3次，流量≥50 L/min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有液相脉动清洗和气相脉动清洗</w:t>
            </w:r>
          </w:p>
        </w:tc>
      </w:tr>
      <w:tr w14:paraId="5D291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1AE64639">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FC43412">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真空系统</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4441A552">
            <w:pPr>
              <w:widowControl w:val="0"/>
              <w:numPr>
                <w:ilvl w:val="0"/>
                <w:numId w:val="0"/>
              </w:numPr>
              <w:ind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应有泄漏测试功能以确保达到真空系统的性能要求</w:t>
            </w:r>
          </w:p>
        </w:tc>
      </w:tr>
      <w:tr w14:paraId="2E6E7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DE0D780">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238FB14">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最低沸腾温度</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2DC494A3">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℃～55℃</w:t>
            </w:r>
          </w:p>
        </w:tc>
      </w:tr>
      <w:tr w14:paraId="3BB2D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3596062">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60F1B19">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清洗方式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35EB33AF">
            <w:pPr>
              <w:keepNext w:val="0"/>
              <w:keepLines w:val="0"/>
              <w:widowControl/>
              <w:suppressLineNumbers w:val="0"/>
              <w:tabs>
                <w:tab w:val="left" w:pos="853"/>
              </w:tabs>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减压沸腾清洗</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rPr>
              <w:t>负压脉动清洗（可兼容超声波清洗模块</w:t>
            </w:r>
          </w:p>
        </w:tc>
      </w:tr>
      <w:tr w14:paraId="52E8B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7D595499">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6100DE6">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微软雅黑" w:hAnsi="微软雅黑" w:eastAsia="微软雅黑" w:cs="微软雅黑"/>
                <w:color w:val="auto"/>
                <w:sz w:val="24"/>
                <w:szCs w:val="24"/>
                <w:highlight w:val="none"/>
              </w:rPr>
              <w:t>▲</w:t>
            </w:r>
            <w:r>
              <w:rPr>
                <w:rFonts w:hint="eastAsia" w:ascii="宋体" w:hAnsi="宋体" w:eastAsia="宋体" w:cs="宋体"/>
                <w:color w:val="auto"/>
                <w:sz w:val="21"/>
                <w:szCs w:val="21"/>
                <w:highlight w:val="none"/>
              </w:rPr>
              <w:t>干燥方式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4DA5AD3F">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真空干燥</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lang w:val="en-US" w:eastAsia="zh-CN"/>
              </w:rPr>
              <w:t>热风</w:t>
            </w:r>
            <w:r>
              <w:rPr>
                <w:rFonts w:hint="eastAsia" w:ascii="宋体" w:hAnsi="宋体" w:eastAsia="宋体" w:cs="宋体"/>
                <w:color w:val="auto"/>
                <w:sz w:val="21"/>
                <w:szCs w:val="21"/>
                <w:highlight w:val="none"/>
              </w:rPr>
              <w:t>干燥</w:t>
            </w:r>
          </w:p>
        </w:tc>
      </w:tr>
      <w:tr w14:paraId="0E67D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73BFDD9">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5F96559">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▲消毒效果</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7FC4890F">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 w:bidi="ar"/>
              </w:rPr>
              <w:t>投标产品在进行微生物杀灭效果鉴定是至少采用白色念珠菌、金黄葡萄球菌和大肠杆菌进行杀灭实验，且杀灭对数值均＞3.000。（提供投标产品在全国消毒产品网上备案信息服务平台查询到的检测报告证明）</w:t>
            </w:r>
          </w:p>
        </w:tc>
      </w:tr>
      <w:tr w14:paraId="42BBD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9E7297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33743B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清洗效果检测报告</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29D95EA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应提供依据清洗消毒器行业标准《YY/T 0734-清洗消毒器》提供的清洗效果检测报告</w:t>
            </w:r>
          </w:p>
        </w:tc>
      </w:tr>
      <w:tr w14:paraId="64C8B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DA8DAB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76B1B5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主要元器件</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232502F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真空泵、电磁阀、气动阀均采用进口</w:t>
            </w:r>
            <w:r>
              <w:rPr>
                <w:rFonts w:hint="eastAsia" w:ascii="宋体" w:hAnsi="宋体" w:cs="宋体"/>
                <w:i w:val="0"/>
                <w:iCs w:val="0"/>
                <w:color w:val="auto"/>
                <w:kern w:val="0"/>
                <w:sz w:val="21"/>
                <w:szCs w:val="21"/>
                <w:highlight w:val="none"/>
                <w:u w:val="none"/>
                <w:lang w:val="en-US" w:eastAsia="zh-CN" w:bidi="ar"/>
              </w:rPr>
              <w:t>或者国内</w:t>
            </w:r>
            <w:r>
              <w:rPr>
                <w:rFonts w:hint="eastAsia" w:ascii="宋体" w:hAnsi="宋体" w:eastAsia="宋体" w:cs="宋体"/>
                <w:i w:val="0"/>
                <w:iCs w:val="0"/>
                <w:color w:val="auto"/>
                <w:kern w:val="0"/>
                <w:sz w:val="21"/>
                <w:szCs w:val="21"/>
                <w:highlight w:val="none"/>
                <w:u w:val="none"/>
                <w:lang w:val="en-US" w:eastAsia="zh-CN" w:bidi="ar"/>
              </w:rPr>
              <w:t>知名品牌，应提供报关单</w:t>
            </w:r>
          </w:p>
        </w:tc>
      </w:tr>
      <w:tr w14:paraId="2DFC4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7F37786E">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8E03BC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计量泵</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4607802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≥2个 （加清洗液泵 1个；加上油液泵 1个）</w:t>
            </w:r>
          </w:p>
        </w:tc>
      </w:tr>
      <w:tr w14:paraId="4CDD0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10C7DA7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54195C6">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程序名称</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0671C19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cs="宋体"/>
                <w:i w:val="0"/>
                <w:iCs w:val="0"/>
                <w:color w:val="auto"/>
                <w:kern w:val="0"/>
                <w:sz w:val="21"/>
                <w:szCs w:val="21"/>
                <w:highlight w:val="none"/>
                <w:u w:val="none"/>
                <w:lang w:val="en-US" w:eastAsia="zh-CN" w:bidi="ar"/>
              </w:rPr>
              <w:t>30</w:t>
            </w:r>
            <w:r>
              <w:rPr>
                <w:rFonts w:hint="eastAsia" w:ascii="宋体" w:hAnsi="宋体" w:eastAsia="宋体" w:cs="宋体"/>
                <w:i w:val="0"/>
                <w:iCs w:val="0"/>
                <w:color w:val="auto"/>
                <w:kern w:val="0"/>
                <w:sz w:val="21"/>
                <w:szCs w:val="21"/>
                <w:highlight w:val="none"/>
                <w:u w:val="none"/>
                <w:lang w:val="en-US" w:eastAsia="zh-CN" w:bidi="ar"/>
              </w:rPr>
              <w:t>套程序（</w:t>
            </w:r>
            <w:r>
              <w:rPr>
                <w:rFonts w:hint="eastAsia" w:ascii="宋体" w:hAnsi="宋体" w:eastAsia="宋体" w:cs="宋体"/>
                <w:color w:val="auto"/>
                <w:sz w:val="21"/>
                <w:szCs w:val="21"/>
                <w:highlight w:val="none"/>
                <w:lang w:val="en-US" w:eastAsia="zh-CN"/>
              </w:rPr>
              <w:t>免费）</w:t>
            </w:r>
            <w:r>
              <w:rPr>
                <w:rFonts w:hint="eastAsia" w:ascii="宋体" w:hAnsi="宋体" w:eastAsia="宋体" w:cs="宋体"/>
                <w:i w:val="0"/>
                <w:iCs w:val="0"/>
                <w:color w:val="auto"/>
                <w:kern w:val="0"/>
                <w:sz w:val="21"/>
                <w:szCs w:val="21"/>
                <w:highlight w:val="none"/>
                <w:u w:val="none"/>
                <w:lang w:val="en-US" w:eastAsia="zh-CN" w:bidi="ar"/>
              </w:rPr>
              <w:t>，用户可根据需要进行程序编辑</w:t>
            </w:r>
          </w:p>
        </w:tc>
      </w:tr>
      <w:tr w14:paraId="69D3C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C84531B">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BF936A0">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流程控制</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3E51EF8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清洗、漂洗、消毒、干燥全过程由控制器自动控制</w:t>
            </w:r>
          </w:p>
        </w:tc>
      </w:tr>
      <w:tr w14:paraId="788FE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3F064D3F">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980F7B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记录方式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5373E464">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自动打印过程曲线或报表、并记录运行温度、运行压力和A0值等关键参数</w:t>
            </w:r>
          </w:p>
        </w:tc>
      </w:tr>
      <w:tr w14:paraId="0E6F1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E6BD722">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cs="宋体"/>
                <w:i w:val="0"/>
                <w:iCs w:val="0"/>
                <w:color w:val="auto"/>
                <w:kern w:val="0"/>
                <w:sz w:val="21"/>
                <w:szCs w:val="21"/>
                <w:highlight w:val="none"/>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AFB1CA1">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显示屏</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165007D1">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触摸屏，显示清晰，触摸准确</w:t>
            </w:r>
          </w:p>
        </w:tc>
      </w:tr>
      <w:tr w14:paraId="090CF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6448E64">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cs="宋体"/>
                <w:i w:val="0"/>
                <w:iCs w:val="0"/>
                <w:color w:val="auto"/>
                <w:kern w:val="0"/>
                <w:sz w:val="21"/>
                <w:szCs w:val="21"/>
                <w:highlight w:val="none"/>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B41A309">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安全保护</w:t>
            </w:r>
          </w:p>
        </w:tc>
        <w:tc>
          <w:tcPr>
            <w:tcW w:w="5834" w:type="dxa"/>
            <w:tcBorders>
              <w:top w:val="single" w:color="000000" w:sz="4" w:space="0"/>
              <w:left w:val="single" w:color="000000" w:sz="4" w:space="0"/>
              <w:bottom w:val="single" w:color="000000" w:sz="4" w:space="0"/>
              <w:right w:val="single" w:color="000000" w:sz="4" w:space="0"/>
            </w:tcBorders>
            <w:noWrap w:val="0"/>
            <w:vAlign w:val="center"/>
          </w:tcPr>
          <w:p w14:paraId="37A4CB9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多种安全保护，包括但不限于：超温保护、防干烧保护、电机过流保护装置、真空泵空转保护、真空泵超时保护</w:t>
            </w:r>
          </w:p>
        </w:tc>
      </w:tr>
      <w:tr w14:paraId="17B15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1FDCCE15">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cs="宋体"/>
                <w:i w:val="0"/>
                <w:iCs w:val="0"/>
                <w:color w:val="auto"/>
                <w:kern w:val="0"/>
                <w:sz w:val="21"/>
                <w:szCs w:val="21"/>
                <w:highlight w:val="none"/>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EF27B6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资质类文件</w:t>
            </w:r>
          </w:p>
        </w:tc>
        <w:tc>
          <w:tcPr>
            <w:tcW w:w="5834" w:type="dxa"/>
            <w:tcBorders>
              <w:top w:val="single" w:color="000000" w:sz="4" w:space="0"/>
              <w:left w:val="single" w:color="000000" w:sz="4" w:space="0"/>
              <w:bottom w:val="single" w:color="000000" w:sz="4" w:space="0"/>
              <w:right w:val="single" w:color="000000" w:sz="4" w:space="0"/>
            </w:tcBorders>
            <w:noWrap/>
            <w:vAlign w:val="bottom"/>
          </w:tcPr>
          <w:p w14:paraId="7260EB8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设备应具备卫生安全评价报告、电磁兼容报告；为保证设备主体使用寿命，生产厂家具有压力容器设计许可证和压力容器制造许可证</w:t>
            </w:r>
          </w:p>
        </w:tc>
      </w:tr>
      <w:tr w14:paraId="6585D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5B1D5030">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cs="宋体"/>
                <w:i w:val="0"/>
                <w:iCs w:val="0"/>
                <w:color w:val="auto"/>
                <w:kern w:val="0"/>
                <w:sz w:val="21"/>
                <w:szCs w:val="21"/>
                <w:highlight w:val="none"/>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687520A6">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产品分类</w:t>
            </w:r>
          </w:p>
        </w:tc>
        <w:tc>
          <w:tcPr>
            <w:tcW w:w="5834" w:type="dxa"/>
            <w:tcBorders>
              <w:top w:val="single" w:color="000000" w:sz="4" w:space="0"/>
              <w:left w:val="single" w:color="000000" w:sz="4" w:space="0"/>
              <w:bottom w:val="single" w:color="000000" w:sz="4" w:space="0"/>
              <w:right w:val="single" w:color="000000" w:sz="4" w:space="0"/>
            </w:tcBorders>
            <w:noWrap/>
            <w:vAlign w:val="bottom"/>
          </w:tcPr>
          <w:p w14:paraId="6FA5D0EF">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为保证消毒效果，要求投标产品为一类消毒产品。（提供投标产品在全国消毒产品网上备案信息服务平台查询网址和查询界面截图证明）</w:t>
            </w:r>
          </w:p>
        </w:tc>
      </w:tr>
      <w:tr w14:paraId="494B7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1EFE950">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35</w:t>
            </w:r>
          </w:p>
        </w:tc>
        <w:tc>
          <w:tcPr>
            <w:tcW w:w="2166" w:type="dxa"/>
            <w:tcBorders>
              <w:top w:val="single" w:color="000000" w:sz="4" w:space="0"/>
              <w:left w:val="single" w:color="000000" w:sz="4" w:space="0"/>
              <w:bottom w:val="single" w:color="000000" w:sz="4" w:space="0"/>
              <w:right w:val="single" w:color="000000" w:sz="4" w:space="0"/>
            </w:tcBorders>
            <w:noWrap/>
            <w:vAlign w:val="bottom"/>
          </w:tcPr>
          <w:p w14:paraId="40E9946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压力表</w:t>
            </w:r>
          </w:p>
        </w:tc>
        <w:tc>
          <w:tcPr>
            <w:tcW w:w="5834" w:type="dxa"/>
            <w:tcBorders>
              <w:top w:val="single" w:color="000000" w:sz="4" w:space="0"/>
              <w:left w:val="single" w:color="000000" w:sz="4" w:space="0"/>
              <w:bottom w:val="single" w:color="000000" w:sz="4" w:space="0"/>
              <w:right w:val="single" w:color="000000" w:sz="4" w:space="0"/>
            </w:tcBorders>
            <w:noWrap/>
            <w:vAlign w:val="bottom"/>
          </w:tcPr>
          <w:p w14:paraId="4D526F7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为防止设备意外断电无法判断舱内与夹层（如有）的压力，要求设备在外罩上安装有≥1个机械式压力表</w:t>
            </w:r>
          </w:p>
        </w:tc>
      </w:tr>
    </w:tbl>
    <w:p w14:paraId="1F4CB2F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四、商务要求：</w:t>
      </w:r>
    </w:p>
    <w:p w14:paraId="12F3939D">
      <w:pPr>
        <w:pStyle w:val="12"/>
        <w:widowControl w:val="0"/>
        <w:spacing w:before="0" w:beforeAutospacing="0" w:after="0" w:afterAutospacing="0" w:line="400" w:lineRule="exact"/>
        <w:ind w:firstLine="420" w:firstLineChars="200"/>
        <w:jc w:val="both"/>
        <w:rPr>
          <w:sz w:val="21"/>
          <w:szCs w:val="21"/>
        </w:rPr>
      </w:pPr>
      <w:r>
        <w:rPr>
          <w:rFonts w:hint="eastAsia"/>
          <w:sz w:val="21"/>
          <w:szCs w:val="21"/>
        </w:rPr>
        <w:t>1、合同履行期限：签订合同后</w:t>
      </w:r>
      <w:r>
        <w:rPr>
          <w:rFonts w:hint="eastAsia"/>
          <w:sz w:val="21"/>
          <w:szCs w:val="21"/>
          <w:u w:val="single"/>
        </w:rPr>
        <w:t xml:space="preserve"> 30 </w:t>
      </w:r>
      <w:r>
        <w:rPr>
          <w:rFonts w:hint="eastAsia"/>
          <w:sz w:val="21"/>
          <w:szCs w:val="21"/>
        </w:rPr>
        <w:t>日历天内完成所需设备的采购、供应、运输、安装、调试等相关伴随服务，并通过采购人的验收。</w:t>
      </w:r>
    </w:p>
    <w:p w14:paraId="5A4D8CFC">
      <w:pPr>
        <w:pStyle w:val="12"/>
        <w:widowControl w:val="0"/>
        <w:spacing w:before="0" w:beforeAutospacing="0" w:after="0" w:afterAutospacing="0" w:line="400" w:lineRule="exact"/>
        <w:ind w:firstLine="480"/>
        <w:jc w:val="both"/>
        <w:rPr>
          <w:sz w:val="21"/>
          <w:szCs w:val="21"/>
        </w:rPr>
      </w:pPr>
      <w:r>
        <w:rPr>
          <w:rFonts w:hint="eastAsia"/>
          <w:sz w:val="21"/>
          <w:szCs w:val="21"/>
        </w:rPr>
        <w:t>2、交货方式：</w:t>
      </w:r>
      <w:r>
        <w:rPr>
          <w:rFonts w:hint="eastAsia"/>
          <w:sz w:val="21"/>
          <w:szCs w:val="21"/>
          <w:lang w:eastAsia="zh-CN"/>
        </w:rPr>
        <w:t>全部货物到现场安装调试完毕并经验收合格后交付给甲方，并经甲方签字确认</w:t>
      </w:r>
      <w:r>
        <w:rPr>
          <w:rFonts w:hint="eastAsia"/>
          <w:sz w:val="21"/>
          <w:szCs w:val="21"/>
        </w:rPr>
        <w:t>。</w:t>
      </w:r>
    </w:p>
    <w:p w14:paraId="61E455BD">
      <w:pPr>
        <w:pStyle w:val="12"/>
        <w:widowControl w:val="0"/>
        <w:spacing w:before="0" w:beforeAutospacing="0" w:after="0" w:afterAutospacing="0" w:line="400" w:lineRule="exact"/>
        <w:ind w:firstLine="480"/>
        <w:jc w:val="both"/>
        <w:rPr>
          <w:sz w:val="21"/>
          <w:szCs w:val="21"/>
        </w:rPr>
      </w:pPr>
      <w:r>
        <w:rPr>
          <w:rFonts w:hint="eastAsia"/>
          <w:sz w:val="21"/>
          <w:szCs w:val="21"/>
        </w:rPr>
        <w:t>3、交货地点：甲方指定地点。</w:t>
      </w:r>
    </w:p>
    <w:p w14:paraId="746C4492">
      <w:pPr>
        <w:pStyle w:val="12"/>
        <w:widowControl w:val="0"/>
        <w:spacing w:before="0" w:beforeAutospacing="0" w:after="0" w:afterAutospacing="0" w:line="400" w:lineRule="exact"/>
        <w:ind w:firstLine="480"/>
        <w:jc w:val="both"/>
        <w:rPr>
          <w:sz w:val="21"/>
          <w:szCs w:val="21"/>
        </w:rPr>
      </w:pPr>
      <w:r>
        <w:rPr>
          <w:rFonts w:hint="eastAsia"/>
          <w:sz w:val="21"/>
          <w:szCs w:val="21"/>
        </w:rPr>
        <w:t>4、付款方式：</w:t>
      </w:r>
      <w:r>
        <w:rPr>
          <w:rFonts w:hint="eastAsia"/>
          <w:b/>
          <w:bCs/>
          <w:sz w:val="21"/>
          <w:szCs w:val="21"/>
          <w:lang w:eastAsia="zh-CN"/>
        </w:rPr>
        <w:t>本项目预付款为合同价的30%</w:t>
      </w:r>
      <w:r>
        <w:rPr>
          <w:rFonts w:hint="eastAsia"/>
          <w:lang w:eastAsia="zh-CN"/>
        </w:rPr>
        <w:t>，</w:t>
      </w:r>
      <w:r>
        <w:rPr>
          <w:rFonts w:hint="eastAsia"/>
          <w:sz w:val="21"/>
          <w:szCs w:val="21"/>
          <w:lang w:eastAsia="zh-CN"/>
        </w:rPr>
        <w:t>在签订合同时，乙方明确书面表示无需预付款或者主动要求降低预付款比例的，甲方可就预付款比例作相应调整。</w:t>
      </w:r>
      <w:r>
        <w:rPr>
          <w:rFonts w:hint="eastAsia"/>
          <w:b/>
          <w:bCs/>
          <w:sz w:val="21"/>
          <w:szCs w:val="21"/>
          <w:lang w:eastAsia="zh-CN"/>
        </w:rPr>
        <w:t>货物安装调试完成并经甲方验收合格后付至合同价款的50%，验收合格满一年后付至合同价款的90%，余款待验收合格满四年后付清。（第一次付款时乙方须提供合法有效的全额税务发票。甲方收到乙方发票按合同支付方式支付）</w:t>
      </w:r>
      <w:r>
        <w:rPr>
          <w:rFonts w:hint="eastAsia"/>
          <w:b/>
          <w:bCs/>
          <w:sz w:val="21"/>
          <w:szCs w:val="21"/>
        </w:rPr>
        <w:t>。</w:t>
      </w:r>
    </w:p>
    <w:p w14:paraId="1A86E340">
      <w:pPr>
        <w:pStyle w:val="12"/>
        <w:widowControl w:val="0"/>
        <w:spacing w:before="0" w:beforeAutospacing="0" w:after="0" w:afterAutospacing="0" w:line="400" w:lineRule="exact"/>
        <w:ind w:firstLine="480"/>
        <w:jc w:val="both"/>
        <w:rPr>
          <w:rFonts w:hint="eastAsia"/>
          <w:sz w:val="21"/>
          <w:szCs w:val="21"/>
          <w:highlight w:val="none"/>
        </w:rPr>
      </w:pPr>
      <w:r>
        <w:rPr>
          <w:rFonts w:hint="eastAsia"/>
          <w:sz w:val="21"/>
          <w:szCs w:val="21"/>
        </w:rPr>
        <w:t>5、质保期要求：</w:t>
      </w:r>
      <w:r>
        <w:rPr>
          <w:rFonts w:hint="eastAsia"/>
          <w:sz w:val="21"/>
          <w:szCs w:val="21"/>
          <w:lang w:eastAsia="zh-CN"/>
        </w:rPr>
        <w:t>≥</w:t>
      </w:r>
      <w:r>
        <w:rPr>
          <w:rFonts w:hint="eastAsia"/>
          <w:sz w:val="21"/>
          <w:szCs w:val="21"/>
          <w:lang w:val="en-US" w:eastAsia="zh-CN"/>
        </w:rPr>
        <w:t>3</w:t>
      </w:r>
      <w:r>
        <w:rPr>
          <w:rFonts w:hint="eastAsia"/>
          <w:sz w:val="21"/>
          <w:szCs w:val="21"/>
        </w:rPr>
        <w:t>年（</w:t>
      </w:r>
      <w:r>
        <w:rPr>
          <w:rFonts w:hint="eastAsia" w:ascii="宋体" w:hAnsi="宋体" w:cs="仿宋"/>
          <w:bCs/>
          <w:color w:val="000000"/>
          <w:sz w:val="21"/>
          <w:szCs w:val="21"/>
          <w:lang w:val="en-US" w:eastAsia="zh-CN"/>
        </w:rPr>
        <w:t>原厂质保</w:t>
      </w:r>
      <w:r>
        <w:rPr>
          <w:rFonts w:hint="eastAsia"/>
          <w:sz w:val="21"/>
          <w:szCs w:val="21"/>
          <w:highlight w:val="none"/>
        </w:rPr>
        <w:t>）。</w:t>
      </w:r>
    </w:p>
    <w:p w14:paraId="552A7783">
      <w:pPr>
        <w:pStyle w:val="12"/>
        <w:widowControl w:val="0"/>
        <w:spacing w:before="0" w:beforeAutospacing="0" w:after="0" w:afterAutospacing="0" w:line="400" w:lineRule="exact"/>
        <w:ind w:firstLine="480"/>
        <w:jc w:val="both"/>
        <w:rPr>
          <w:sz w:val="21"/>
          <w:szCs w:val="21"/>
        </w:rPr>
      </w:pPr>
      <w:r>
        <w:rPr>
          <w:rFonts w:hint="eastAsia"/>
          <w:sz w:val="21"/>
          <w:szCs w:val="21"/>
          <w:highlight w:val="none"/>
        </w:rPr>
        <w:t>6、</w:t>
      </w:r>
      <w:r>
        <w:rPr>
          <w:rFonts w:hint="eastAsia" w:ascii="宋体" w:hAnsi="宋体" w:cs="仿宋"/>
          <w:bCs/>
          <w:color w:val="000000"/>
          <w:sz w:val="21"/>
          <w:szCs w:val="21"/>
          <w:highlight w:val="none"/>
          <w:lang w:val="en-US" w:eastAsia="zh-CN"/>
        </w:rPr>
        <w:t>免费送货至医院指定地点安装调试，免费培训设备管理人员、</w:t>
      </w:r>
      <w:r>
        <w:rPr>
          <w:rFonts w:hint="eastAsia" w:ascii="宋体" w:hAnsi="宋体" w:cs="仿宋"/>
          <w:bCs/>
          <w:color w:val="000000"/>
          <w:sz w:val="21"/>
          <w:szCs w:val="21"/>
          <w:lang w:val="en-US" w:eastAsia="zh-CN"/>
        </w:rPr>
        <w:t>操作人员至能熟练操作为止。</w:t>
      </w:r>
      <w:r>
        <w:rPr>
          <w:rFonts w:hint="eastAsia"/>
          <w:sz w:val="21"/>
          <w:szCs w:val="21"/>
        </w:rPr>
        <w:t>包装和运输要求：供应商对于投标产品的商品包装、快递包装应按照《关于印发《商品包装政府采购需求标准（试行）》、《快递包装政府采购需求标准（试行）》的通知》（财办库〔2020〕123号）执行。</w:t>
      </w:r>
    </w:p>
    <w:p w14:paraId="0287475D">
      <w:pPr>
        <w:pStyle w:val="12"/>
        <w:widowControl w:val="0"/>
        <w:spacing w:before="0" w:beforeAutospacing="0" w:after="0" w:afterAutospacing="0" w:line="400" w:lineRule="exact"/>
        <w:ind w:firstLine="480"/>
        <w:jc w:val="both"/>
        <w:rPr>
          <w:sz w:val="21"/>
          <w:szCs w:val="21"/>
        </w:rPr>
      </w:pPr>
      <w:r>
        <w:rPr>
          <w:rFonts w:hint="eastAsia"/>
          <w:sz w:val="21"/>
          <w:szCs w:val="21"/>
        </w:rPr>
        <w:t>7、质量要求及验收标准：相关质量验收规范合格标准，验收执行国家或行业最新标准、招标文件各项技术参数指标、投标文件投标承诺所达到的各项技术参数指标（招标文件、投标文件、国家或行业标准不一致处以最高标准执行）。</w:t>
      </w:r>
    </w:p>
    <w:p w14:paraId="40728554">
      <w:pPr>
        <w:pStyle w:val="12"/>
        <w:widowControl w:val="0"/>
        <w:spacing w:before="0" w:beforeAutospacing="0" w:after="0" w:afterAutospacing="0" w:line="400" w:lineRule="exact"/>
        <w:ind w:firstLine="480"/>
        <w:jc w:val="both"/>
        <w:rPr>
          <w:rFonts w:hint="eastAsia" w:ascii="宋体" w:hAnsi="宋体" w:cs="仿宋"/>
          <w:bCs/>
          <w:color w:val="000000"/>
          <w:sz w:val="21"/>
          <w:szCs w:val="21"/>
          <w:lang w:val="en-US" w:eastAsia="zh-CN"/>
        </w:rPr>
      </w:pPr>
      <w:r>
        <w:rPr>
          <w:rFonts w:hint="eastAsia"/>
          <w:sz w:val="21"/>
          <w:szCs w:val="21"/>
        </w:rPr>
        <w:t>8、</w:t>
      </w:r>
      <w:r>
        <w:rPr>
          <w:rFonts w:hint="eastAsia" w:ascii="宋体" w:hAnsi="宋体" w:cs="仿宋"/>
          <w:bCs/>
          <w:color w:val="000000"/>
          <w:sz w:val="21"/>
          <w:szCs w:val="21"/>
          <w:lang w:val="en-US" w:eastAsia="zh-CN"/>
        </w:rPr>
        <w:t>投标产品属于医疗器械注册范畴的，供货时须提供投标产品的《医疗器械注册证》。</w:t>
      </w:r>
    </w:p>
    <w:p w14:paraId="35761279">
      <w:pPr>
        <w:pStyle w:val="12"/>
        <w:widowControl w:val="0"/>
        <w:spacing w:before="0" w:beforeAutospacing="0" w:after="0" w:afterAutospacing="0" w:line="400" w:lineRule="exact"/>
        <w:ind w:firstLine="480"/>
        <w:jc w:val="both"/>
        <w:rPr>
          <w:rFonts w:hint="eastAsia" w:ascii="宋体" w:hAnsi="宋体" w:cs="仿宋"/>
          <w:bCs/>
          <w:color w:val="000000"/>
          <w:sz w:val="21"/>
          <w:szCs w:val="21"/>
          <w:lang w:val="en-US" w:eastAsia="zh-CN"/>
        </w:rPr>
      </w:pPr>
      <w:r>
        <w:rPr>
          <w:rFonts w:hint="eastAsia" w:ascii="宋体" w:hAnsi="宋体" w:cs="仿宋"/>
          <w:bCs/>
          <w:color w:val="000000"/>
          <w:sz w:val="21"/>
          <w:szCs w:val="21"/>
          <w:lang w:val="en-US" w:eastAsia="zh-CN"/>
        </w:rPr>
        <w:t>9、所有设备必须是全新的，未曾使用过的原装产品，出厂日期与合同签订日期≤3个月。</w:t>
      </w:r>
    </w:p>
    <w:p w14:paraId="7C7D1A07">
      <w:pPr>
        <w:pStyle w:val="12"/>
        <w:widowControl w:val="0"/>
        <w:spacing w:before="0" w:beforeAutospacing="0" w:after="0" w:afterAutospacing="0" w:line="400" w:lineRule="exact"/>
        <w:ind w:firstLine="480"/>
        <w:jc w:val="both"/>
        <w:rPr>
          <w:rFonts w:hint="eastAsia" w:ascii="宋体" w:hAnsi="宋体" w:cs="仿宋"/>
          <w:bCs/>
          <w:color w:val="000000"/>
          <w:sz w:val="21"/>
          <w:szCs w:val="21"/>
          <w:highlight w:val="none"/>
          <w:lang w:val="en-US" w:eastAsia="zh-CN"/>
        </w:rPr>
      </w:pPr>
      <w:r>
        <w:rPr>
          <w:rFonts w:hint="eastAsia" w:ascii="宋体" w:hAnsi="宋体" w:cs="仿宋"/>
          <w:bCs/>
          <w:color w:val="000000"/>
          <w:sz w:val="21"/>
          <w:szCs w:val="21"/>
          <w:highlight w:val="none"/>
          <w:lang w:val="en-US" w:eastAsia="zh-CN"/>
        </w:rPr>
        <w:t>10、</w:t>
      </w:r>
      <w:r>
        <w:rPr>
          <w:rFonts w:hint="eastAsia" w:ascii="宋体" w:hAnsi="宋体" w:cs="仿宋"/>
          <w:b/>
          <w:bCs w:val="0"/>
          <w:color w:val="000000"/>
          <w:sz w:val="21"/>
          <w:szCs w:val="21"/>
          <w:highlight w:val="none"/>
          <w:lang w:val="en-US" w:eastAsia="zh-CN"/>
        </w:rPr>
        <w:t>根据配置要求提供出厂装箱清单</w:t>
      </w:r>
      <w:r>
        <w:rPr>
          <w:rFonts w:hint="eastAsia" w:ascii="宋体" w:hAnsi="宋体" w:cs="仿宋"/>
          <w:bCs/>
          <w:color w:val="000000"/>
          <w:sz w:val="21"/>
          <w:szCs w:val="21"/>
          <w:highlight w:val="none"/>
          <w:lang w:val="en-US" w:eastAsia="zh-CN"/>
        </w:rPr>
        <w:t>，(主要配置必须符合标书)，未列出的维修配件将视为终身免费维修及更换内容。</w:t>
      </w:r>
    </w:p>
    <w:p w14:paraId="779351F9">
      <w:pPr>
        <w:pStyle w:val="12"/>
        <w:widowControl w:val="0"/>
        <w:spacing w:before="0" w:beforeAutospacing="0" w:after="0" w:afterAutospacing="0" w:line="400" w:lineRule="exact"/>
        <w:ind w:firstLine="480"/>
        <w:jc w:val="both"/>
        <w:rPr>
          <w:rFonts w:hint="eastAsia" w:cs="仿宋"/>
          <w:bCs/>
          <w:color w:val="000000"/>
          <w:sz w:val="21"/>
          <w:szCs w:val="21"/>
          <w:lang w:val="en-US" w:eastAsia="zh-CN"/>
        </w:rPr>
      </w:pPr>
      <w:r>
        <w:rPr>
          <w:rFonts w:hint="eastAsia" w:cs="仿宋"/>
          <w:bCs/>
          <w:color w:val="000000"/>
          <w:sz w:val="21"/>
          <w:szCs w:val="21"/>
          <w:lang w:val="en-US" w:eastAsia="zh-CN"/>
        </w:rPr>
        <w:t>11、保修范围包括合同中所有配置。并确保设备保修期内开机率≥95%，如设备故障停机率超过5%（一年按365天计算，每年18天），逾期修复设备的，每超过一天，保修期延长7天，甲方有权扣减500元/天，不足一天按一天计。</w:t>
      </w:r>
    </w:p>
    <w:p w14:paraId="35A1CDD5">
      <w:pPr>
        <w:pStyle w:val="12"/>
        <w:widowControl w:val="0"/>
        <w:spacing w:before="0" w:beforeAutospacing="0" w:after="0" w:afterAutospacing="0" w:line="400" w:lineRule="exact"/>
        <w:ind w:firstLine="480"/>
        <w:jc w:val="both"/>
        <w:rPr>
          <w:rFonts w:hint="eastAsia" w:cs="仿宋"/>
          <w:bCs/>
          <w:color w:val="000000"/>
          <w:sz w:val="21"/>
          <w:szCs w:val="21"/>
          <w:lang w:val="en-US" w:eastAsia="zh-CN"/>
        </w:rPr>
      </w:pPr>
      <w:r>
        <w:rPr>
          <w:rFonts w:hint="eastAsia" w:cs="仿宋"/>
          <w:bCs/>
          <w:color w:val="000000"/>
          <w:sz w:val="21"/>
          <w:szCs w:val="21"/>
          <w:lang w:val="en-US" w:eastAsia="zh-CN"/>
        </w:rPr>
        <w:t>12、如设备发生故障，乙方在接到甲方报修电话后30分钟响应，12小时赶到现场，24小时内修复或提供备用机，否则甲方可自行采取必要的措施，由此产生的风险和费用由乙方承担。如有特殊情况，乙方应立即电话通知甲方不能响应的原因，在获得甲方同意后，才可推迟响应时间。</w:t>
      </w:r>
    </w:p>
    <w:p w14:paraId="0D494F18">
      <w:pPr>
        <w:pStyle w:val="12"/>
        <w:widowControl w:val="0"/>
        <w:spacing w:before="0" w:beforeAutospacing="0" w:after="0" w:afterAutospacing="0" w:line="400" w:lineRule="exact"/>
        <w:ind w:firstLine="480"/>
        <w:jc w:val="both"/>
        <w:rPr>
          <w:rFonts w:hint="default" w:cs="仿宋"/>
          <w:bCs/>
          <w:color w:val="000000"/>
          <w:sz w:val="21"/>
          <w:szCs w:val="21"/>
          <w:lang w:val="en-US" w:eastAsia="zh-CN"/>
        </w:rPr>
      </w:pPr>
      <w:r>
        <w:rPr>
          <w:rFonts w:hint="eastAsia" w:cs="仿宋"/>
          <w:bCs/>
          <w:color w:val="000000"/>
          <w:sz w:val="21"/>
          <w:szCs w:val="21"/>
          <w:lang w:val="en-US" w:eastAsia="zh-CN"/>
        </w:rPr>
        <w:t>13、保修期内每年4次定期维护，并经甲方签字确认，留档备查。</w:t>
      </w:r>
    </w:p>
    <w:p w14:paraId="21565AD5">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1"/>
          <w:szCs w:val="21"/>
        </w:rPr>
      </w:pPr>
      <w:r>
        <w:rPr>
          <w:rFonts w:hint="eastAsia" w:ascii="宋体" w:hAnsi="宋体" w:eastAsia="宋体" w:cs="宋体"/>
          <w:b/>
          <w:bCs/>
          <w:sz w:val="21"/>
          <w:szCs w:val="21"/>
        </w:rPr>
        <w:t>五、其他内容</w:t>
      </w:r>
    </w:p>
    <w:p w14:paraId="04D46A7E">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1、供应商应当优先采购节能、环境标志产品，供应商需提供实施方案和售后服务方案。</w:t>
      </w:r>
    </w:p>
    <w:p w14:paraId="689F236C">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2、投标产品制造商需从质量保证、环境影响、安全生产等方面加强生产经营全过程管控的能力，不断加强品质控制、环境保护、安全生产等方面的规范性。</w:t>
      </w:r>
    </w:p>
    <w:p w14:paraId="1807DAA6">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3、采购标的中的核心产品为“</w:t>
      </w:r>
      <w:r>
        <w:rPr>
          <w:rFonts w:hint="eastAsia"/>
          <w:color w:val="000000"/>
          <w:sz w:val="21"/>
          <w:szCs w:val="21"/>
          <w:highlight w:val="none"/>
          <w:lang w:val="en-US" w:eastAsia="zh-CN"/>
        </w:rPr>
        <w:t xml:space="preserve"> </w:t>
      </w:r>
      <w:r>
        <w:rPr>
          <w:rFonts w:hint="eastAsia" w:ascii="宋体" w:hAnsi="宋体" w:eastAsia="宋体" w:cs="宋体"/>
          <w:b/>
          <w:bCs/>
          <w:i w:val="0"/>
          <w:iCs w:val="0"/>
          <w:color w:val="auto"/>
          <w:kern w:val="0"/>
          <w:sz w:val="24"/>
          <w:szCs w:val="24"/>
          <w:u w:val="none"/>
          <w:lang w:val="en-US" w:eastAsia="zh-CN" w:bidi="ar"/>
        </w:rPr>
        <w:t>脉动真空灭菌器</w:t>
      </w:r>
      <w:r>
        <w:rPr>
          <w:rFonts w:hint="eastAsia"/>
          <w:color w:val="000000"/>
          <w:sz w:val="21"/>
          <w:szCs w:val="21"/>
          <w:highlight w:val="none"/>
          <w:lang w:val="en-US" w:eastAsia="zh-CN"/>
        </w:rPr>
        <w:t xml:space="preserve"> </w:t>
      </w:r>
      <w:r>
        <w:rPr>
          <w:rFonts w:hint="eastAsia" w:ascii="宋体" w:hAnsi="宋体" w:eastAsia="宋体" w:cs="宋体"/>
          <w:sz w:val="21"/>
          <w:szCs w:val="21"/>
        </w:rPr>
        <w:t>”。</w:t>
      </w:r>
    </w:p>
    <w:p w14:paraId="2AF65F2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4、本项目不接受进口产品投标。</w:t>
      </w:r>
    </w:p>
    <w:p w14:paraId="4DAA28DD">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5、本项目采购标的所属行业划分为</w:t>
      </w:r>
      <w:r>
        <w:rPr>
          <w:rFonts w:hint="eastAsia" w:ascii="宋体" w:hAnsi="宋体" w:eastAsia="宋体" w:cs="宋体"/>
          <w:b/>
          <w:sz w:val="21"/>
          <w:szCs w:val="21"/>
          <w:u w:val="single"/>
        </w:rPr>
        <w:t>制造业</w:t>
      </w:r>
      <w:r>
        <w:rPr>
          <w:rFonts w:hint="eastAsia" w:ascii="宋体" w:hAnsi="宋体" w:eastAsia="宋体" w:cs="宋体"/>
          <w:sz w:val="21"/>
          <w:szCs w:val="21"/>
        </w:rPr>
        <w:t>。</w:t>
      </w:r>
    </w:p>
    <w:p w14:paraId="2EC2112C">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sz w:val="21"/>
          <w:szCs w:val="21"/>
        </w:rPr>
      </w:pPr>
    </w:p>
    <w:p w14:paraId="4F52B17C">
      <w:pPr>
        <w:pStyle w:val="12"/>
        <w:keepNext w:val="0"/>
        <w:keepLines w:val="0"/>
        <w:pageBreakBefore w:val="0"/>
        <w:kinsoku/>
        <w:wordWrap/>
        <w:overflowPunct/>
        <w:topLinePunct w:val="0"/>
        <w:autoSpaceDE/>
        <w:autoSpaceDN/>
        <w:bidi w:val="0"/>
        <w:adjustRightInd/>
        <w:snapToGrid/>
        <w:spacing w:beforeAutospacing="0" w:afterAutospacing="0" w:line="360" w:lineRule="auto"/>
        <w:ind w:firstLine="602"/>
        <w:jc w:val="both"/>
        <w:textAlignment w:val="auto"/>
        <w:rPr>
          <w:highlight w:val="none"/>
        </w:rPr>
      </w:pPr>
      <w:bookmarkStart w:id="164" w:name="_Toc120614281"/>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119DF58E">
      <w:pPr>
        <w:pStyle w:val="12"/>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2A7125E0">
      <w:pPr>
        <w:pStyle w:val="12"/>
        <w:spacing w:before="120" w:beforeAutospacing="0" w:after="120" w:afterAutospacing="0" w:line="360" w:lineRule="auto"/>
        <w:ind w:firstLine="441"/>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政府采购政策功能落实</w:t>
      </w:r>
    </w:p>
    <w:p w14:paraId="7BAAA33E">
      <w:pPr>
        <w:pStyle w:val="12"/>
        <w:spacing w:before="120" w:beforeAutospacing="0" w:after="120" w:afterAutospacing="0" w:line="0" w:lineRule="atLeast"/>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1、小微型企业价格扣除</w:t>
      </w:r>
    </w:p>
    <w:p w14:paraId="187A4FA4">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（1）本项目若不专门面向中小企业采购，对</w:t>
      </w:r>
      <w:r>
        <w:rPr>
          <w:rFonts w:hint="eastAsia" w:ascii="宋体" w:hAnsi="宋体" w:eastAsia="宋体" w:cs="宋体"/>
          <w:sz w:val="24"/>
          <w:szCs w:val="24"/>
          <w:highlight w:val="none"/>
          <w:lang w:val="en-US" w:eastAsia="zh-CN"/>
        </w:rPr>
        <w:t>符合规定的</w:t>
      </w:r>
      <w:r>
        <w:rPr>
          <w:rFonts w:hint="eastAsia" w:ascii="宋体" w:hAnsi="宋体" w:eastAsia="宋体" w:cs="宋体"/>
          <w:sz w:val="24"/>
          <w:szCs w:val="24"/>
          <w:highlight w:val="none"/>
        </w:rPr>
        <w:t>小型和微型企业</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给予</w:t>
      </w:r>
      <w:r>
        <w:rPr>
          <w:rFonts w:hint="eastAsia" w:ascii="宋体" w:hAnsi="宋体" w:eastAsia="宋体" w:cs="宋体"/>
          <w:b/>
          <w:bCs/>
          <w:sz w:val="24"/>
          <w:szCs w:val="24"/>
          <w:highlight w:val="none"/>
        </w:rPr>
        <w:t>20%</w:t>
      </w:r>
      <w:r>
        <w:rPr>
          <w:rFonts w:hint="eastAsia" w:ascii="宋体" w:hAnsi="宋体" w:eastAsia="宋体" w:cs="宋体"/>
          <w:sz w:val="24"/>
          <w:szCs w:val="24"/>
          <w:highlight w:val="none"/>
        </w:rPr>
        <w:t>的扣除价格，用扣除后的价格参与评审；若专门面向中小企业采购，不再对小型和微型企业</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给予价格扣除。</w:t>
      </w:r>
    </w:p>
    <w:p w14:paraId="393B146D">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（2）供应商需按照采购文件的要求提供相应的《</w:t>
      </w:r>
      <w:r>
        <w:rPr>
          <w:rFonts w:hint="eastAsia" w:ascii="宋体" w:hAnsi="宋体" w:eastAsia="宋体" w:cs="宋体"/>
          <w:sz w:val="24"/>
          <w:szCs w:val="24"/>
          <w:highlight w:val="none"/>
          <w:lang w:val="en-US" w:eastAsia="zh-CN"/>
        </w:rPr>
        <w:t>中小</w:t>
      </w:r>
      <w:r>
        <w:rPr>
          <w:rFonts w:hint="eastAsia" w:ascii="宋体" w:hAnsi="宋体" w:eastAsia="宋体" w:cs="宋体"/>
          <w:sz w:val="24"/>
          <w:szCs w:val="24"/>
          <w:highlight w:val="none"/>
        </w:rPr>
        <w:t>企业声明函》。</w:t>
      </w:r>
    </w:p>
    <w:p w14:paraId="07751C33">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2DCA9D8F">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2、残疾人福利单位价格扣除</w:t>
      </w:r>
    </w:p>
    <w:p w14:paraId="0E8D4170">
      <w:pPr>
        <w:pStyle w:val="23"/>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（1）本项目对残疾人福利性单位视同小型、微型企业，给予</w:t>
      </w:r>
      <w:r>
        <w:rPr>
          <w:rFonts w:hint="eastAsia" w:ascii="宋体" w:hAnsi="宋体" w:eastAsia="宋体" w:cs="宋体"/>
          <w:b/>
          <w:bCs/>
          <w:sz w:val="24"/>
          <w:szCs w:val="24"/>
          <w:highlight w:val="none"/>
        </w:rPr>
        <w:t>20%</w:t>
      </w:r>
      <w:r>
        <w:rPr>
          <w:rFonts w:hint="eastAsia" w:ascii="宋体" w:hAnsi="宋体" w:eastAsia="宋体" w:cs="宋体"/>
          <w:sz w:val="24"/>
          <w:szCs w:val="24"/>
          <w:highlight w:val="none"/>
        </w:rPr>
        <w:t>的价格扣除</w:t>
      </w:r>
      <w:r>
        <w:rPr>
          <w:rFonts w:hint="eastAsia" w:ascii="宋体" w:hAnsi="宋体" w:eastAsia="宋体" w:cs="宋体"/>
          <w:sz w:val="24"/>
          <w:szCs w:val="24"/>
          <w:highlight w:val="none"/>
          <w:lang w:eastAsia="zh-CN"/>
        </w:rPr>
        <w:t>。</w:t>
      </w:r>
    </w:p>
    <w:p w14:paraId="441B7F16">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（2）残疾人福利单位需按照采购文件的要求提供《残疾人福利性单位声明函》。</w:t>
      </w:r>
    </w:p>
    <w:p w14:paraId="574A996A">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（3）残疾人福利单位标准请参照《关于促进残疾人就业政府采购政策的通知》（财库〔2017〕141号）。</w:t>
      </w:r>
    </w:p>
    <w:p w14:paraId="500E9357">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3、监狱和戒毒企业价格扣除</w:t>
      </w:r>
    </w:p>
    <w:p w14:paraId="78CD3014">
      <w:pPr>
        <w:pStyle w:val="23"/>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（1）本项目对监狱和戒毒企业（简称监狱企业）视同小型、微型企业，给予</w:t>
      </w:r>
      <w:r>
        <w:rPr>
          <w:rFonts w:hint="eastAsia" w:ascii="宋体" w:hAnsi="宋体" w:eastAsia="宋体" w:cs="宋体"/>
          <w:b/>
          <w:bCs/>
          <w:sz w:val="24"/>
          <w:szCs w:val="24"/>
          <w:highlight w:val="none"/>
        </w:rPr>
        <w:t>20%</w:t>
      </w:r>
      <w:r>
        <w:rPr>
          <w:rFonts w:hint="eastAsia" w:ascii="宋体" w:hAnsi="宋体" w:eastAsia="宋体" w:cs="宋体"/>
          <w:sz w:val="24"/>
          <w:szCs w:val="24"/>
          <w:highlight w:val="none"/>
        </w:rPr>
        <w:t>的价格扣除</w:t>
      </w:r>
      <w:r>
        <w:rPr>
          <w:rFonts w:hint="eastAsia" w:ascii="宋体" w:hAnsi="宋体" w:eastAsia="宋体" w:cs="宋体"/>
          <w:sz w:val="24"/>
          <w:szCs w:val="24"/>
          <w:highlight w:val="none"/>
          <w:lang w:eastAsia="zh-CN"/>
        </w:rPr>
        <w:t>。</w:t>
      </w:r>
    </w:p>
    <w:p w14:paraId="759EF746">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36D0F">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（3）监狱企业标准请参照《关于政府采购支持监狱企业发展有关问题的通知》（财库[2014]68号）。</w:t>
      </w:r>
    </w:p>
    <w:p w14:paraId="5AB6C78C">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4、残疾人福利单位、监狱企业属于小型、微型企业的，不重复享受政策。</w:t>
      </w:r>
    </w:p>
    <w:p w14:paraId="5C8243AF">
      <w:pPr>
        <w:pStyle w:val="23"/>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4608FE61">
      <w:pPr>
        <w:pStyle w:val="23"/>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6、联合体各方均为小型、微型企业（残疾人福利单位、监狱企业）的，联合体享受20%的价格扣除</w:t>
      </w:r>
      <w:r>
        <w:rPr>
          <w:rFonts w:hint="eastAsia" w:ascii="宋体" w:hAnsi="宋体" w:eastAsia="宋体" w:cs="宋体"/>
          <w:sz w:val="24"/>
          <w:szCs w:val="24"/>
          <w:highlight w:val="none"/>
          <w:lang w:eastAsia="zh-CN"/>
        </w:rPr>
        <w:t>。</w:t>
      </w:r>
    </w:p>
    <w:p w14:paraId="4FBF8BB0">
      <w:pPr>
        <w:spacing w:line="400" w:lineRule="exact"/>
        <w:ind w:firstLine="482"/>
        <w:jc w:val="left"/>
        <w:rPr>
          <w:rFonts w:hint="eastAsia" w:ascii="宋体" w:hAnsi="宋体" w:eastAsia="宋体" w:cs="宋体"/>
          <w:b/>
          <w:bCs/>
          <w:sz w:val="24"/>
        </w:rPr>
      </w:pPr>
      <w:r>
        <w:rPr>
          <w:rFonts w:hint="eastAsia" w:ascii="宋体" w:hAnsi="宋体" w:eastAsia="宋体" w:cs="宋体"/>
          <w:b/>
          <w:bCs/>
          <w:sz w:val="24"/>
        </w:rPr>
        <w:t>评标方法与评标标准</w:t>
      </w:r>
    </w:p>
    <w:tbl>
      <w:tblPr>
        <w:tblStyle w:val="14"/>
        <w:tblW w:w="10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141"/>
        <w:gridCol w:w="821"/>
        <w:gridCol w:w="7625"/>
      </w:tblGrid>
      <w:tr w14:paraId="7B9AB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52" w:type="dxa"/>
            <w:noWrap w:val="0"/>
            <w:vAlign w:val="center"/>
          </w:tcPr>
          <w:p w14:paraId="79B69B24">
            <w:pPr>
              <w:keepNext w:val="0"/>
              <w:keepLines w:val="0"/>
              <w:pageBreakBefore w:val="0"/>
              <w:widowControl w:val="0"/>
              <w:spacing w:line="400" w:lineRule="exact"/>
              <w:ind w:left="0"/>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序号</w:t>
            </w:r>
          </w:p>
        </w:tc>
        <w:tc>
          <w:tcPr>
            <w:tcW w:w="1141" w:type="dxa"/>
            <w:noWrap w:val="0"/>
            <w:vAlign w:val="center"/>
          </w:tcPr>
          <w:p w14:paraId="00DBF162">
            <w:pPr>
              <w:keepNext w:val="0"/>
              <w:keepLines w:val="0"/>
              <w:pageBreakBefore w:val="0"/>
              <w:widowControl w:val="0"/>
              <w:spacing w:line="400" w:lineRule="exact"/>
              <w:ind w:left="0"/>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评分因素及权重</w:t>
            </w:r>
          </w:p>
        </w:tc>
        <w:tc>
          <w:tcPr>
            <w:tcW w:w="821" w:type="dxa"/>
            <w:noWrap w:val="0"/>
            <w:vAlign w:val="center"/>
          </w:tcPr>
          <w:p w14:paraId="58FDD7EC">
            <w:pPr>
              <w:keepNext w:val="0"/>
              <w:keepLines w:val="0"/>
              <w:pageBreakBefore w:val="0"/>
              <w:widowControl w:val="0"/>
              <w:spacing w:line="400" w:lineRule="exact"/>
              <w:ind w:left="0"/>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分值</w:t>
            </w:r>
          </w:p>
        </w:tc>
        <w:tc>
          <w:tcPr>
            <w:tcW w:w="7625" w:type="dxa"/>
            <w:noWrap w:val="0"/>
            <w:vAlign w:val="center"/>
          </w:tcPr>
          <w:p w14:paraId="79674B20">
            <w:pPr>
              <w:keepNext w:val="0"/>
              <w:keepLines w:val="0"/>
              <w:pageBreakBefore w:val="0"/>
              <w:widowControl w:val="0"/>
              <w:spacing w:line="400" w:lineRule="exact"/>
              <w:ind w:left="0"/>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评分标准</w:t>
            </w:r>
          </w:p>
        </w:tc>
      </w:tr>
      <w:tr w14:paraId="1CC36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noWrap w:val="0"/>
            <w:vAlign w:val="center"/>
          </w:tcPr>
          <w:p w14:paraId="1E18C21D">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p>
        </w:tc>
        <w:tc>
          <w:tcPr>
            <w:tcW w:w="1141" w:type="dxa"/>
            <w:noWrap w:val="0"/>
            <w:vAlign w:val="center"/>
          </w:tcPr>
          <w:p w14:paraId="57FFC963">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价格</w:t>
            </w:r>
          </w:p>
        </w:tc>
        <w:tc>
          <w:tcPr>
            <w:tcW w:w="821" w:type="dxa"/>
            <w:noWrap w:val="0"/>
            <w:vAlign w:val="center"/>
          </w:tcPr>
          <w:p w14:paraId="0C43356F">
            <w:pPr>
              <w:keepNext w:val="0"/>
              <w:keepLines w:val="0"/>
              <w:pageBreakBefore w:val="0"/>
              <w:widowControl w:val="0"/>
              <w:spacing w:line="400" w:lineRule="exact"/>
              <w:ind w:left="0"/>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30</w:t>
            </w:r>
          </w:p>
        </w:tc>
        <w:tc>
          <w:tcPr>
            <w:tcW w:w="7625" w:type="dxa"/>
            <w:noWrap w:val="0"/>
            <w:vAlign w:val="center"/>
          </w:tcPr>
          <w:p w14:paraId="77D19CC9">
            <w:pPr>
              <w:keepNext w:val="0"/>
              <w:keepLines w:val="0"/>
              <w:pageBreakBefore w:val="0"/>
              <w:widowControl w:val="0"/>
              <w:numPr>
                <w:ilvl w:val="0"/>
                <w:numId w:val="0"/>
              </w:numPr>
              <w:spacing w:line="320" w:lineRule="exact"/>
              <w:jc w:val="left"/>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价格分采用低价优先法计算，即满足招标文件要求且投标报价最低的为评标基准价，其价格分为满分。其他供应商的价格分统一按下列公式计算：报价得分=（评标基准价/投标报价）×</w:t>
            </w:r>
            <w:r>
              <w:rPr>
                <w:rFonts w:hint="eastAsia" w:ascii="宋体" w:hAnsi="宋体" w:eastAsia="宋体" w:cs="宋体"/>
                <w:b w:val="0"/>
                <w:bCs w:val="0"/>
                <w:color w:val="auto"/>
                <w:sz w:val="21"/>
                <w:szCs w:val="21"/>
                <w:highlight w:val="none"/>
                <w:lang w:val="en-US" w:eastAsia="zh-CN"/>
              </w:rPr>
              <w:t>30</w:t>
            </w:r>
            <w:r>
              <w:rPr>
                <w:rFonts w:hint="eastAsia" w:ascii="宋体" w:hAnsi="宋体" w:eastAsia="宋体" w:cs="宋体"/>
                <w:b w:val="0"/>
                <w:bCs w:val="0"/>
                <w:color w:val="auto"/>
                <w:sz w:val="21"/>
                <w:szCs w:val="21"/>
                <w:highlight w:val="none"/>
                <w:lang w:val="zh-CN" w:eastAsia="zh-CN"/>
              </w:rPr>
              <w:t>，价格分保留两位小数。</w:t>
            </w:r>
          </w:p>
          <w:p w14:paraId="5C36488A">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评审委员会启动异常低价投标 （响应）审查的情形和具体要求：</w:t>
            </w:r>
          </w:p>
          <w:p w14:paraId="1FBC3C07">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评审过程中出现下列情形之一的，评审委员会应当启动异常低价投标（响应）审查程序：</w:t>
            </w:r>
          </w:p>
          <w:p w14:paraId="5EA9FAA2">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投标（响应）报价低于采购项目预算 50% 的，即投标（响 应）报价&lt;采购项目预</w:t>
            </w:r>
          </w:p>
          <w:p w14:paraId="0F81E7E2">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算×50% ；</w:t>
            </w:r>
          </w:p>
          <w:p w14:paraId="75642E28">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投标（响应）报价低于采购项目最高限价 45% 的，即投 标（响应）报价&lt;采购项</w:t>
            </w:r>
          </w:p>
          <w:p w14:paraId="057C6514">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目最高限价×45% ；</w:t>
            </w:r>
          </w:p>
          <w:p w14:paraId="18E7BE0D">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评审委员会认定的供应商报价过低、有可能影响产品质量或者不能诚信履约的其</w:t>
            </w:r>
          </w:p>
          <w:p w14:paraId="1E1E9868">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他情形。</w:t>
            </w:r>
          </w:p>
          <w:p w14:paraId="4132488A">
            <w:pPr>
              <w:keepNext w:val="0"/>
              <w:keepLines w:val="0"/>
              <w:pageBreakBefore w:val="0"/>
              <w:widowControl w:val="0"/>
              <w:numPr>
                <w:ilvl w:val="0"/>
                <w:numId w:val="0"/>
              </w:numPr>
              <w:spacing w:line="320" w:lineRule="exact"/>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 （二）启动异常低价投标（响应）审查后，评审委员会应当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 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p>
          <w:p w14:paraId="215C1C13">
            <w:pPr>
              <w:pStyle w:val="7"/>
              <w:rPr>
                <w:rFonts w:hint="eastAsia"/>
                <w:lang w:val="zh-CN"/>
              </w:rPr>
            </w:pPr>
          </w:p>
        </w:tc>
      </w:tr>
      <w:tr w14:paraId="192EE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7" w:hRule="atLeast"/>
          <w:jc w:val="center"/>
        </w:trPr>
        <w:tc>
          <w:tcPr>
            <w:tcW w:w="752" w:type="dxa"/>
            <w:noWrap w:val="0"/>
            <w:vAlign w:val="center"/>
          </w:tcPr>
          <w:p w14:paraId="45A2386C">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w:t>
            </w:r>
          </w:p>
        </w:tc>
        <w:tc>
          <w:tcPr>
            <w:tcW w:w="1141" w:type="dxa"/>
            <w:noWrap w:val="0"/>
            <w:vAlign w:val="center"/>
          </w:tcPr>
          <w:p w14:paraId="66F10796">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技术</w:t>
            </w:r>
          </w:p>
          <w:p w14:paraId="6361643F">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参数</w:t>
            </w:r>
          </w:p>
        </w:tc>
        <w:tc>
          <w:tcPr>
            <w:tcW w:w="821" w:type="dxa"/>
            <w:noWrap w:val="0"/>
            <w:vAlign w:val="center"/>
          </w:tcPr>
          <w:p w14:paraId="0EACB956">
            <w:pPr>
              <w:keepNext w:val="0"/>
              <w:keepLines w:val="0"/>
              <w:pageBreakBefore w:val="0"/>
              <w:widowControl w:val="0"/>
              <w:spacing w:line="400" w:lineRule="exact"/>
              <w:ind w:left="0"/>
              <w:jc w:val="center"/>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42   </w:t>
            </w:r>
          </w:p>
        </w:tc>
        <w:tc>
          <w:tcPr>
            <w:tcW w:w="7625" w:type="dxa"/>
            <w:noWrap w:val="0"/>
            <w:vAlign w:val="center"/>
          </w:tcPr>
          <w:p w14:paraId="32E256DC">
            <w:pPr>
              <w:keepNext w:val="0"/>
              <w:keepLines w:val="0"/>
              <w:pageBreakBefore w:val="0"/>
              <w:widowControl w:val="0"/>
              <w:spacing w:line="400" w:lineRule="exact"/>
              <w:ind w:left="0" w:leftChars="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技术要求的符合性，即对提供货物的技术参数、配置、性能是否符合或优于采购文件要求进行评价。完全符合技术要求的得42分；采购清单中带“▲”参数为重要参数，每有一项负偏离的，扣3分；其他参数为一般参数，每有一项负偏离的，扣1分；扣完为止。</w:t>
            </w:r>
          </w:p>
          <w:p w14:paraId="737B0A1D">
            <w:pPr>
              <w:keepNext w:val="0"/>
              <w:keepLines w:val="0"/>
              <w:pageBreakBefore w:val="0"/>
              <w:widowControl w:val="0"/>
              <w:spacing w:line="400" w:lineRule="exact"/>
              <w:ind w:left="0" w:leftChars="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注：1、带▲的参数须提供佐证材料</w:t>
            </w:r>
            <w:r>
              <w:rPr>
                <w:rFonts w:hint="eastAsia" w:ascii="宋体" w:hAnsi="宋体" w:cs="宋体"/>
                <w:b w:val="0"/>
                <w:bCs w:val="0"/>
                <w:color w:val="auto"/>
                <w:sz w:val="21"/>
                <w:szCs w:val="21"/>
                <w:highlight w:val="none"/>
                <w:lang w:val="en-US" w:eastAsia="zh-CN"/>
              </w:rPr>
              <w:t>（技术白皮书或第三方检测证明或厂家发布的彩页等）</w:t>
            </w:r>
            <w:r>
              <w:rPr>
                <w:rFonts w:hint="eastAsia" w:ascii="宋体" w:hAnsi="宋体" w:eastAsia="宋体" w:cs="宋体"/>
                <w:b w:val="0"/>
                <w:bCs w:val="0"/>
                <w:color w:val="auto"/>
                <w:sz w:val="21"/>
                <w:szCs w:val="21"/>
                <w:highlight w:val="none"/>
                <w:lang w:val="en-US" w:eastAsia="zh-CN"/>
              </w:rPr>
              <w:t>，标明页码并明显标注，未明显标注可能造成失分情况。</w:t>
            </w:r>
          </w:p>
          <w:p w14:paraId="4A973C16">
            <w:pPr>
              <w:keepNext w:val="0"/>
              <w:keepLines w:val="0"/>
              <w:pageBreakBefore w:val="0"/>
              <w:widowControl w:val="0"/>
              <w:numPr>
                <w:ilvl w:val="0"/>
                <w:numId w:val="1"/>
              </w:numPr>
              <w:spacing w:line="320" w:lineRule="exact"/>
              <w:jc w:val="left"/>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带</w:t>
            </w:r>
            <w:r>
              <w:rPr>
                <w:rFonts w:hint="eastAsia" w:ascii="宋体" w:hAnsi="宋体" w:eastAsia="宋体" w:cs="宋体"/>
                <w:b w:val="0"/>
                <w:bCs w:val="0"/>
                <w:color w:val="auto"/>
                <w:sz w:val="21"/>
                <w:szCs w:val="21"/>
                <w:highlight w:val="none"/>
                <w:lang w:val="en-US" w:eastAsia="zh-CN"/>
              </w:rPr>
              <w:t>★的参数为本项目基本需求，须提供佐证材料</w:t>
            </w:r>
            <w:r>
              <w:rPr>
                <w:rFonts w:hint="eastAsia" w:ascii="宋体" w:hAnsi="宋体" w:cs="宋体"/>
                <w:b w:val="0"/>
                <w:bCs w:val="0"/>
                <w:color w:val="auto"/>
                <w:sz w:val="21"/>
                <w:szCs w:val="21"/>
                <w:highlight w:val="none"/>
                <w:lang w:val="en-US" w:eastAsia="zh-CN"/>
              </w:rPr>
              <w:t>（技术白皮书或第三方检测证明或厂家发布的彩页等）</w:t>
            </w:r>
            <w:r>
              <w:rPr>
                <w:rFonts w:hint="eastAsia" w:ascii="宋体" w:hAnsi="宋体" w:eastAsia="宋体" w:cs="宋体"/>
                <w:b w:val="0"/>
                <w:bCs w:val="0"/>
                <w:color w:val="auto"/>
                <w:sz w:val="21"/>
                <w:szCs w:val="21"/>
                <w:highlight w:val="none"/>
                <w:lang w:val="en-US" w:eastAsia="zh-CN"/>
              </w:rPr>
              <w:t>，标明页码并明显标注，不得负偏离，否则作无效标处理。</w:t>
            </w:r>
          </w:p>
        </w:tc>
      </w:tr>
      <w:tr w14:paraId="7EE9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noWrap w:val="0"/>
            <w:vAlign w:val="center"/>
          </w:tcPr>
          <w:p w14:paraId="617F3D2F">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p>
        </w:tc>
        <w:tc>
          <w:tcPr>
            <w:tcW w:w="1141" w:type="dxa"/>
            <w:noWrap w:val="0"/>
            <w:vAlign w:val="center"/>
          </w:tcPr>
          <w:p w14:paraId="7C8594D3">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综合</w:t>
            </w:r>
          </w:p>
          <w:p w14:paraId="2EB020A5">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实力</w:t>
            </w:r>
          </w:p>
        </w:tc>
        <w:tc>
          <w:tcPr>
            <w:tcW w:w="821" w:type="dxa"/>
            <w:noWrap w:val="0"/>
            <w:vAlign w:val="center"/>
          </w:tcPr>
          <w:p w14:paraId="2ECE250D">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w:t>
            </w:r>
          </w:p>
        </w:tc>
        <w:tc>
          <w:tcPr>
            <w:tcW w:w="7625" w:type="dxa"/>
            <w:noWrap w:val="0"/>
            <w:vAlign w:val="center"/>
          </w:tcPr>
          <w:p w14:paraId="65D3E205">
            <w:pPr>
              <w:keepNext w:val="0"/>
              <w:keepLines w:val="0"/>
              <w:pageBreakBefore w:val="0"/>
              <w:widowControl w:val="0"/>
              <w:numPr>
                <w:ilvl w:val="0"/>
                <w:numId w:val="0"/>
              </w:numPr>
              <w:spacing w:line="320" w:lineRule="exact"/>
              <w:jc w:val="lef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投标人或制造商具有ISO9001质量体系证书、ISO13485质量体系证书、环境管理体系认证(ISO14001)、职业健康安全管理体系认证(ISO45001)每提供一份得1.5分，本项最高得6分。</w:t>
            </w:r>
          </w:p>
          <w:p w14:paraId="7F52008F">
            <w:pPr>
              <w:keepNext w:val="0"/>
              <w:keepLines w:val="0"/>
              <w:pageBreakBefore w:val="0"/>
              <w:widowControl w:val="0"/>
              <w:numPr>
                <w:ilvl w:val="0"/>
                <w:numId w:val="0"/>
              </w:numPr>
              <w:spacing w:line="32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备注：提供以上有效期内认证证书的彩色扫描件并加盖投标人公章，且须提供中国国家认证认可监督管理委员会官方网站(www.cnca.gov.cn) 查询截图并加盖投标人公章方可计分；同一证书不重复计分。)</w:t>
            </w:r>
          </w:p>
        </w:tc>
      </w:tr>
      <w:tr w14:paraId="1641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52" w:type="dxa"/>
            <w:noWrap w:val="0"/>
            <w:vAlign w:val="center"/>
          </w:tcPr>
          <w:p w14:paraId="13F9C1F5">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p>
        </w:tc>
        <w:tc>
          <w:tcPr>
            <w:tcW w:w="1141" w:type="dxa"/>
            <w:noWrap w:val="0"/>
            <w:vAlign w:val="center"/>
          </w:tcPr>
          <w:p w14:paraId="34D47F68">
            <w:pPr>
              <w:keepNext w:val="0"/>
              <w:keepLines w:val="0"/>
              <w:pageBreakBefore w:val="0"/>
              <w:widowControl w:val="0"/>
              <w:spacing w:line="400" w:lineRule="exact"/>
              <w:ind w:left="0"/>
              <w:jc w:val="center"/>
              <w:rPr>
                <w:rFonts w:hint="default"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产品培训计划</w:t>
            </w:r>
          </w:p>
        </w:tc>
        <w:tc>
          <w:tcPr>
            <w:tcW w:w="821" w:type="dxa"/>
            <w:noWrap w:val="0"/>
            <w:vAlign w:val="center"/>
          </w:tcPr>
          <w:p w14:paraId="384EB7DF">
            <w:pPr>
              <w:keepNext w:val="0"/>
              <w:keepLines w:val="0"/>
              <w:pageBreakBefore w:val="0"/>
              <w:widowControl w:val="0"/>
              <w:spacing w:line="400" w:lineRule="exact"/>
              <w:ind w:left="0" w:leftChars="0"/>
              <w:jc w:val="cente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w:t>
            </w:r>
          </w:p>
        </w:tc>
        <w:tc>
          <w:tcPr>
            <w:tcW w:w="7625" w:type="dxa"/>
            <w:noWrap w:val="0"/>
            <w:vAlign w:val="center"/>
          </w:tcPr>
          <w:p w14:paraId="21F81E39">
            <w:pPr>
              <w:keepNext w:val="0"/>
              <w:keepLines w:val="0"/>
              <w:pageBreakBefore w:val="0"/>
              <w:widowControl w:val="0"/>
              <w:numPr>
                <w:ilvl w:val="0"/>
                <w:numId w:val="0"/>
              </w:numPr>
              <w:spacing w:line="32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投标人提供详尽的产品培训计划、使用培训计划，从科学、合理、可行性方面进行评比，内容非常完整、具体、合理、切实可行得5分，内容比较完整、具体、合理、可行的得 3.5分，内容基本完整、可行得2 分。 </w:t>
            </w:r>
          </w:p>
          <w:p w14:paraId="7006CE30">
            <w:pPr>
              <w:keepNext w:val="0"/>
              <w:keepLines w:val="0"/>
              <w:pageBreakBefore w:val="0"/>
              <w:widowControl w:val="0"/>
              <w:numPr>
                <w:ilvl w:val="0"/>
                <w:numId w:val="0"/>
              </w:numPr>
              <w:spacing w:line="320" w:lineRule="exact"/>
              <w:ind w:left="0" w:leftChars="0" w:firstLine="0" w:firstLineChars="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提供方案得基本分0.5分，不提供或提供方案明细不符合本项目特点的不得分，本项最高得5分。</w:t>
            </w:r>
          </w:p>
        </w:tc>
      </w:tr>
      <w:tr w14:paraId="4D59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52" w:type="dxa"/>
            <w:noWrap w:val="0"/>
            <w:vAlign w:val="center"/>
          </w:tcPr>
          <w:p w14:paraId="2EB842F5">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2"/>
                <w:szCs w:val="22"/>
                <w:highlight w:val="none"/>
                <w:lang w:val="en-US" w:eastAsia="zh-CN"/>
              </w:rPr>
              <w:t>5</w:t>
            </w:r>
          </w:p>
        </w:tc>
        <w:tc>
          <w:tcPr>
            <w:tcW w:w="1141" w:type="dxa"/>
            <w:noWrap w:val="0"/>
            <w:vAlign w:val="center"/>
          </w:tcPr>
          <w:p w14:paraId="3E01A19A">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产品质量保证措施</w:t>
            </w:r>
          </w:p>
          <w:p w14:paraId="3DB0528B">
            <w:pPr>
              <w:keepNext w:val="0"/>
              <w:keepLines w:val="0"/>
              <w:pageBreakBefore w:val="0"/>
              <w:widowControl w:val="0"/>
              <w:spacing w:line="400" w:lineRule="exact"/>
              <w:ind w:left="0" w:leftChars="0"/>
              <w:jc w:val="center"/>
              <w:rPr>
                <w:rFonts w:hint="eastAsia" w:ascii="宋体" w:hAnsi="宋体" w:eastAsia="宋体" w:cs="宋体"/>
                <w:b w:val="0"/>
                <w:bCs w:val="0"/>
                <w:color w:val="auto"/>
                <w:sz w:val="21"/>
                <w:szCs w:val="21"/>
                <w:highlight w:val="none"/>
                <w:lang w:val="en-US" w:eastAsia="zh-CN"/>
              </w:rPr>
            </w:pPr>
          </w:p>
        </w:tc>
        <w:tc>
          <w:tcPr>
            <w:tcW w:w="821" w:type="dxa"/>
            <w:noWrap w:val="0"/>
            <w:vAlign w:val="center"/>
          </w:tcPr>
          <w:p w14:paraId="69F47061">
            <w:pPr>
              <w:keepNext w:val="0"/>
              <w:keepLines w:val="0"/>
              <w:pageBreakBefore w:val="0"/>
              <w:widowControl w:val="0"/>
              <w:spacing w:line="400" w:lineRule="exact"/>
              <w:ind w:left="0" w:leftChars="0"/>
              <w:jc w:val="cente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w:t>
            </w:r>
          </w:p>
        </w:tc>
        <w:tc>
          <w:tcPr>
            <w:tcW w:w="7625" w:type="dxa"/>
            <w:noWrap w:val="0"/>
            <w:vAlign w:val="center"/>
          </w:tcPr>
          <w:p w14:paraId="26A6B057">
            <w:pPr>
              <w:keepNext w:val="0"/>
              <w:keepLines w:val="0"/>
              <w:pageBreakBefore w:val="0"/>
              <w:widowControl w:val="0"/>
              <w:spacing w:line="40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投标人所投产品具有明确的供货安装调试方案、质量保证措施、保证使用单位能熟练操作维护和正常使用。</w:t>
            </w:r>
          </w:p>
          <w:p w14:paraId="5F75D372">
            <w:pPr>
              <w:keepNext w:val="0"/>
              <w:keepLines w:val="0"/>
              <w:pageBreakBefore w:val="0"/>
              <w:widowControl w:val="0"/>
              <w:spacing w:line="40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内容</w:t>
            </w:r>
            <w:r>
              <w:rPr>
                <w:rFonts w:hint="eastAsia" w:ascii="宋体" w:hAnsi="宋体" w:cs="宋体"/>
                <w:b w:val="0"/>
                <w:bCs w:val="0"/>
                <w:color w:val="auto"/>
                <w:sz w:val="21"/>
                <w:szCs w:val="21"/>
                <w:highlight w:val="none"/>
                <w:lang w:val="en-US" w:eastAsia="zh-CN"/>
              </w:rPr>
              <w:t>非常</w:t>
            </w:r>
            <w:r>
              <w:rPr>
                <w:rFonts w:hint="eastAsia" w:ascii="宋体" w:hAnsi="宋体" w:eastAsia="宋体" w:cs="宋体"/>
                <w:b w:val="0"/>
                <w:bCs w:val="0"/>
                <w:color w:val="auto"/>
                <w:sz w:val="21"/>
                <w:szCs w:val="21"/>
                <w:highlight w:val="none"/>
                <w:lang w:val="en-US" w:eastAsia="zh-CN"/>
              </w:rPr>
              <w:t>完整、具体、合理、切实可行得</w:t>
            </w: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分，内容</w:t>
            </w:r>
            <w:r>
              <w:rPr>
                <w:rFonts w:hint="eastAsia" w:ascii="宋体" w:hAnsi="宋体" w:cs="宋体"/>
                <w:b w:val="0"/>
                <w:bCs w:val="0"/>
                <w:color w:val="auto"/>
                <w:sz w:val="21"/>
                <w:szCs w:val="21"/>
                <w:highlight w:val="none"/>
                <w:lang w:val="en-US" w:eastAsia="zh-CN"/>
              </w:rPr>
              <w:t>比较</w:t>
            </w:r>
            <w:r>
              <w:rPr>
                <w:rFonts w:hint="eastAsia" w:ascii="宋体" w:hAnsi="宋体" w:eastAsia="宋体" w:cs="宋体"/>
                <w:b w:val="0"/>
                <w:bCs w:val="0"/>
                <w:color w:val="auto"/>
                <w:sz w:val="21"/>
                <w:szCs w:val="21"/>
                <w:highlight w:val="none"/>
                <w:lang w:val="en-US" w:eastAsia="zh-CN"/>
              </w:rPr>
              <w:t>完整、可行</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得</w:t>
            </w:r>
            <w:r>
              <w:rPr>
                <w:rFonts w:hint="eastAsia" w:ascii="宋体" w:hAnsi="宋体" w:cs="宋体"/>
                <w:b w:val="0"/>
                <w:bCs w:val="0"/>
                <w:color w:val="auto"/>
                <w:sz w:val="21"/>
                <w:szCs w:val="21"/>
                <w:highlight w:val="none"/>
                <w:lang w:val="en-US" w:eastAsia="zh-CN"/>
              </w:rPr>
              <w:t>3.5</w:t>
            </w:r>
            <w:r>
              <w:rPr>
                <w:rFonts w:hint="eastAsia" w:ascii="宋体" w:hAnsi="宋体" w:eastAsia="宋体" w:cs="宋体"/>
                <w:b w:val="0"/>
                <w:bCs w:val="0"/>
                <w:color w:val="auto"/>
                <w:sz w:val="21"/>
                <w:szCs w:val="21"/>
                <w:highlight w:val="none"/>
                <w:lang w:val="en-US" w:eastAsia="zh-CN"/>
              </w:rPr>
              <w:t>分，内容</w:t>
            </w:r>
            <w:r>
              <w:rPr>
                <w:rFonts w:hint="eastAsia" w:ascii="宋体" w:hAnsi="宋体" w:cs="宋体"/>
                <w:b w:val="0"/>
                <w:bCs w:val="0"/>
                <w:color w:val="auto"/>
                <w:sz w:val="21"/>
                <w:szCs w:val="21"/>
                <w:highlight w:val="none"/>
                <w:lang w:val="en-US" w:eastAsia="zh-CN"/>
              </w:rPr>
              <w:t>基本</w:t>
            </w:r>
            <w:r>
              <w:rPr>
                <w:rFonts w:hint="eastAsia" w:ascii="宋体" w:hAnsi="宋体" w:eastAsia="宋体" w:cs="宋体"/>
                <w:b w:val="0"/>
                <w:bCs w:val="0"/>
                <w:color w:val="auto"/>
                <w:sz w:val="21"/>
                <w:szCs w:val="21"/>
                <w:highlight w:val="none"/>
                <w:lang w:val="en-US" w:eastAsia="zh-CN"/>
              </w:rPr>
              <w:t>完整、可行</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 xml:space="preserve">分。 </w:t>
            </w:r>
            <w:r>
              <w:rPr>
                <w:rFonts w:hint="eastAsia" w:ascii="宋体" w:hAnsi="宋体" w:cs="宋体"/>
                <w:b w:val="0"/>
                <w:bCs w:val="0"/>
                <w:color w:val="auto"/>
                <w:sz w:val="21"/>
                <w:szCs w:val="21"/>
                <w:highlight w:val="none"/>
                <w:lang w:val="en-US" w:eastAsia="zh-CN"/>
              </w:rPr>
              <w:t>提供方案得基本分0.5分，</w:t>
            </w:r>
            <w:r>
              <w:rPr>
                <w:rFonts w:hint="eastAsia" w:ascii="宋体" w:hAnsi="宋体" w:eastAsia="宋体" w:cs="宋体"/>
                <w:b w:val="0"/>
                <w:bCs w:val="0"/>
                <w:color w:val="auto"/>
                <w:sz w:val="21"/>
                <w:szCs w:val="21"/>
                <w:highlight w:val="none"/>
                <w:lang w:val="en-US" w:eastAsia="zh-CN"/>
              </w:rPr>
              <w:t>不提供</w:t>
            </w:r>
            <w:r>
              <w:rPr>
                <w:rFonts w:hint="eastAsia" w:ascii="宋体" w:hAnsi="宋体" w:cs="宋体"/>
                <w:b w:val="0"/>
                <w:bCs w:val="0"/>
                <w:color w:val="auto"/>
                <w:sz w:val="21"/>
                <w:szCs w:val="21"/>
                <w:highlight w:val="none"/>
                <w:lang w:val="en-US" w:eastAsia="zh-CN"/>
              </w:rPr>
              <w:t>或提供方案明细不符合本项目特点的</w:t>
            </w:r>
            <w:r>
              <w:rPr>
                <w:rFonts w:hint="eastAsia" w:ascii="宋体" w:hAnsi="宋体" w:eastAsia="宋体" w:cs="宋体"/>
                <w:b w:val="0"/>
                <w:bCs w:val="0"/>
                <w:color w:val="auto"/>
                <w:sz w:val="21"/>
                <w:szCs w:val="21"/>
                <w:highlight w:val="none"/>
                <w:lang w:val="en-US" w:eastAsia="zh-CN"/>
              </w:rPr>
              <w:t>不得分，本项最高得</w:t>
            </w: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分。</w:t>
            </w:r>
          </w:p>
        </w:tc>
      </w:tr>
      <w:tr w14:paraId="4DEEC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2" w:type="dxa"/>
            <w:noWrap w:val="0"/>
            <w:vAlign w:val="center"/>
          </w:tcPr>
          <w:p w14:paraId="345C6A29">
            <w:pPr>
              <w:keepNext w:val="0"/>
              <w:keepLines w:val="0"/>
              <w:pageBreakBefore w:val="0"/>
              <w:widowControl w:val="0"/>
              <w:spacing w:line="400" w:lineRule="exact"/>
              <w:ind w:left="0"/>
              <w:jc w:val="center"/>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6</w:t>
            </w:r>
          </w:p>
        </w:tc>
        <w:tc>
          <w:tcPr>
            <w:tcW w:w="1141" w:type="dxa"/>
            <w:noWrap w:val="0"/>
            <w:vAlign w:val="center"/>
          </w:tcPr>
          <w:p w14:paraId="4FB159A4">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售后</w:t>
            </w:r>
          </w:p>
          <w:p w14:paraId="1173933F">
            <w:pPr>
              <w:keepNext w:val="0"/>
              <w:keepLines w:val="0"/>
              <w:pageBreakBefore w:val="0"/>
              <w:widowControl w:val="0"/>
              <w:spacing w:line="400" w:lineRule="exact"/>
              <w:ind w:lef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w:t>
            </w:r>
          </w:p>
        </w:tc>
        <w:tc>
          <w:tcPr>
            <w:tcW w:w="821" w:type="dxa"/>
            <w:noWrap w:val="0"/>
            <w:vAlign w:val="center"/>
          </w:tcPr>
          <w:p w14:paraId="6E505386">
            <w:pPr>
              <w:keepNext w:val="0"/>
              <w:keepLines w:val="0"/>
              <w:pageBreakBefore w:val="0"/>
              <w:widowControl w:val="0"/>
              <w:spacing w:line="400" w:lineRule="exact"/>
              <w:ind w:left="0"/>
              <w:jc w:val="center"/>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9</w:t>
            </w:r>
          </w:p>
        </w:tc>
        <w:tc>
          <w:tcPr>
            <w:tcW w:w="7625" w:type="dxa"/>
            <w:noWrap w:val="0"/>
            <w:vAlign w:val="center"/>
          </w:tcPr>
          <w:p w14:paraId="3F25944E">
            <w:pPr>
              <w:keepNext w:val="0"/>
              <w:keepLines w:val="0"/>
              <w:pageBreakBefore w:val="0"/>
              <w:widowControl w:val="0"/>
              <w:numPr>
                <w:ilvl w:val="0"/>
                <w:numId w:val="0"/>
              </w:numPr>
              <w:spacing w:line="320" w:lineRule="exact"/>
              <w:jc w:val="left"/>
              <w:rPr>
                <w:rFonts w:hint="eastAsia" w:ascii="宋体" w:hAnsi="宋体"/>
                <w:b/>
                <w:bCs/>
                <w:color w:val="auto"/>
                <w:sz w:val="24"/>
                <w:szCs w:val="21"/>
                <w:highlight w:val="none"/>
                <w:lang w:val="en-US" w:eastAsia="zh-CN"/>
              </w:rPr>
            </w:pPr>
            <w:r>
              <w:rPr>
                <w:rFonts w:hint="eastAsia" w:ascii="宋体" w:hAnsi="宋体" w:eastAsia="宋体" w:cs="宋体"/>
                <w:b w:val="0"/>
                <w:bCs w:val="0"/>
                <w:color w:val="auto"/>
                <w:sz w:val="21"/>
                <w:szCs w:val="21"/>
                <w:highlight w:val="none"/>
                <w:lang w:val="en-US" w:eastAsia="zh-CN"/>
              </w:rPr>
              <w:t>1、投标人承诺在设备免费质保期为三年的基础上（质保期为三年的不得分），每增加半年免费质保期的，得2分，最多得4分。</w:t>
            </w:r>
            <w:r>
              <w:rPr>
                <w:rFonts w:hint="eastAsia" w:ascii="宋体" w:hAnsi="宋体"/>
                <w:b/>
                <w:bCs/>
                <w:color w:val="auto"/>
                <w:sz w:val="24"/>
                <w:szCs w:val="21"/>
                <w:highlight w:val="none"/>
                <w:lang w:val="en-US" w:eastAsia="zh-CN"/>
              </w:rPr>
              <w:t>（投标时须提供</w:t>
            </w:r>
            <w:r>
              <w:rPr>
                <w:rFonts w:hint="eastAsia" w:ascii="宋体" w:hAnsi="宋体"/>
                <w:b/>
                <w:bCs/>
                <w:color w:val="auto"/>
                <w:sz w:val="24"/>
                <w:szCs w:val="21"/>
                <w:highlight w:val="none"/>
              </w:rPr>
              <w:t>原厂质保承诺书并加盖供应商公章。</w:t>
            </w:r>
            <w:r>
              <w:rPr>
                <w:rFonts w:hint="eastAsia" w:ascii="宋体" w:hAnsi="宋体"/>
                <w:b/>
                <w:bCs/>
                <w:color w:val="auto"/>
                <w:sz w:val="24"/>
                <w:szCs w:val="21"/>
                <w:highlight w:val="none"/>
                <w:lang w:val="en-US" w:eastAsia="zh-CN"/>
              </w:rPr>
              <w:t>不提供不得分）</w:t>
            </w:r>
          </w:p>
          <w:p w14:paraId="3F063D28">
            <w:pPr>
              <w:pBdr>
                <w:top w:val="none" w:color="000000" w:sz="0" w:space="0"/>
                <w:left w:val="none" w:color="000000" w:sz="0" w:space="0"/>
                <w:bottom w:val="none" w:color="000000" w:sz="0" w:space="0"/>
                <w:right w:val="none" w:color="000000" w:sz="0" w:space="0"/>
              </w:pBdr>
              <w:rPr>
                <w:rFonts w:eastAsia="Times New Roman"/>
                <w:highlight w:val="none"/>
              </w:rPr>
            </w:pPr>
            <w:r>
              <w:rPr>
                <w:rFonts w:ascii="宋体" w:hAnsi="宋体" w:eastAsia="宋体" w:cs="宋体"/>
                <w:color w:val="000000"/>
                <w:highlight w:val="none"/>
              </w:rPr>
              <w:t>评委根据投标文件中的质保期内售后服务（故障解决措施、技术人员保障、备品配件价格等、服务网点、维修网点设置情况以及技术人员安排情况）等服务内容进行横向对比评审：</w:t>
            </w:r>
          </w:p>
          <w:p w14:paraId="3E3E52E3">
            <w:pPr>
              <w:pBdr>
                <w:top w:val="none" w:color="000000" w:sz="0" w:space="0"/>
                <w:left w:val="none" w:color="000000" w:sz="0" w:space="0"/>
                <w:bottom w:val="none" w:color="000000" w:sz="0" w:space="0"/>
                <w:right w:val="none" w:color="000000" w:sz="0" w:space="0"/>
              </w:pBdr>
              <w:rPr>
                <w:rFonts w:eastAsia="Times New Roman"/>
                <w:highlight w:val="none"/>
              </w:rPr>
            </w:pPr>
            <w:r>
              <w:rPr>
                <w:rFonts w:ascii="宋体" w:hAnsi="宋体" w:eastAsia="宋体" w:cs="宋体"/>
                <w:color w:val="000000"/>
                <w:highlight w:val="none"/>
              </w:rPr>
              <w:t>（1）内容科学合理、完整、切实可行的得5分；</w:t>
            </w:r>
          </w:p>
          <w:p w14:paraId="3E923822">
            <w:pPr>
              <w:pBdr>
                <w:top w:val="none" w:color="000000" w:sz="0" w:space="0"/>
                <w:left w:val="none" w:color="000000" w:sz="0" w:space="0"/>
                <w:bottom w:val="none" w:color="000000" w:sz="0" w:space="0"/>
                <w:right w:val="none" w:color="000000" w:sz="0" w:space="0"/>
              </w:pBdr>
              <w:rPr>
                <w:rFonts w:eastAsia="Times New Roman"/>
                <w:highlight w:val="none"/>
              </w:rPr>
            </w:pPr>
            <w:r>
              <w:rPr>
                <w:rFonts w:ascii="宋体" w:hAnsi="宋体" w:eastAsia="宋体" w:cs="宋体"/>
                <w:color w:val="000000"/>
                <w:highlight w:val="none"/>
              </w:rPr>
              <w:t>（2）内容较为详细的，有一定的科学性和可行性的得3分</w:t>
            </w:r>
          </w:p>
          <w:p w14:paraId="1A5975A6">
            <w:pPr>
              <w:pBdr>
                <w:top w:val="none" w:color="000000" w:sz="0" w:space="0"/>
                <w:left w:val="none" w:color="000000" w:sz="0" w:space="0"/>
                <w:bottom w:val="none" w:color="000000" w:sz="0" w:space="0"/>
                <w:right w:val="none" w:color="000000" w:sz="0" w:space="0"/>
              </w:pBdr>
              <w:rPr>
                <w:rFonts w:eastAsia="Times New Roman"/>
                <w:highlight w:val="none"/>
              </w:rPr>
            </w:pPr>
            <w:r>
              <w:rPr>
                <w:rFonts w:ascii="宋体" w:hAnsi="宋体" w:eastAsia="宋体" w:cs="宋体"/>
                <w:color w:val="000000"/>
                <w:highlight w:val="none"/>
              </w:rPr>
              <w:t>（3）内容不完整、科学性欠合理、可行性欠妥的得1分；</w:t>
            </w:r>
          </w:p>
          <w:p w14:paraId="47608258">
            <w:pPr>
              <w:keepNext w:val="0"/>
              <w:keepLines w:val="0"/>
              <w:pageBreakBefore w:val="0"/>
              <w:widowControl w:val="0"/>
              <w:numPr>
                <w:ilvl w:val="0"/>
                <w:numId w:val="0"/>
              </w:numPr>
              <w:spacing w:line="320" w:lineRule="exact"/>
              <w:jc w:val="left"/>
              <w:rPr>
                <w:rFonts w:hint="default" w:ascii="宋体" w:hAnsi="宋体" w:eastAsia="宋体" w:cs="宋体"/>
                <w:b/>
                <w:bCs/>
                <w:color w:val="auto"/>
                <w:sz w:val="21"/>
                <w:szCs w:val="21"/>
                <w:highlight w:val="none"/>
                <w:lang w:val="en-US" w:eastAsia="zh-CN"/>
              </w:rPr>
            </w:pPr>
            <w:r>
              <w:rPr>
                <w:rFonts w:ascii="宋体" w:hAnsi="宋体" w:eastAsia="宋体" w:cs="宋体"/>
                <w:color w:val="000000"/>
                <w:highlight w:val="none"/>
              </w:rPr>
              <w:t>（4）未提供服务方案的不得分。</w:t>
            </w:r>
          </w:p>
        </w:tc>
      </w:tr>
      <w:tr w14:paraId="27292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752" w:type="dxa"/>
            <w:noWrap w:val="0"/>
            <w:vAlign w:val="center"/>
          </w:tcPr>
          <w:p w14:paraId="48603357">
            <w:pPr>
              <w:keepNext w:val="0"/>
              <w:keepLines w:val="0"/>
              <w:pageBreakBefore w:val="0"/>
              <w:widowControl w:val="0"/>
              <w:spacing w:line="400" w:lineRule="exact"/>
              <w:ind w:left="0" w:leftChars="0"/>
              <w:jc w:val="cente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7</w:t>
            </w:r>
          </w:p>
        </w:tc>
        <w:tc>
          <w:tcPr>
            <w:tcW w:w="1141" w:type="dxa"/>
            <w:noWrap w:val="0"/>
            <w:vAlign w:val="center"/>
          </w:tcPr>
          <w:p w14:paraId="1493AAA8">
            <w:pPr>
              <w:keepNext w:val="0"/>
              <w:keepLines w:val="0"/>
              <w:pageBreakBefore w:val="0"/>
              <w:widowControl w:val="0"/>
              <w:spacing w:line="400" w:lineRule="exact"/>
              <w:ind w:left="0" w:leftChars="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业绩</w:t>
            </w:r>
          </w:p>
        </w:tc>
        <w:tc>
          <w:tcPr>
            <w:tcW w:w="821" w:type="dxa"/>
            <w:noWrap w:val="0"/>
            <w:vAlign w:val="center"/>
          </w:tcPr>
          <w:p w14:paraId="5DCC922B">
            <w:pPr>
              <w:keepNext w:val="0"/>
              <w:keepLines w:val="0"/>
              <w:pageBreakBefore w:val="0"/>
              <w:widowControl w:val="0"/>
              <w:numPr>
                <w:ilvl w:val="0"/>
                <w:numId w:val="0"/>
              </w:numPr>
              <w:spacing w:line="32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p>
        </w:tc>
        <w:tc>
          <w:tcPr>
            <w:tcW w:w="7625" w:type="dxa"/>
            <w:noWrap w:val="0"/>
            <w:vAlign w:val="center"/>
          </w:tcPr>
          <w:p w14:paraId="268C5BBE">
            <w:pPr>
              <w:keepNext w:val="0"/>
              <w:keepLines w:val="0"/>
              <w:pageBreakBefore w:val="0"/>
              <w:widowControl w:val="0"/>
              <w:numPr>
                <w:ilvl w:val="0"/>
                <w:numId w:val="0"/>
              </w:numPr>
              <w:spacing w:line="32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投标人具有所投同类产品“</w:t>
            </w:r>
            <w:r>
              <w:rPr>
                <w:rFonts w:hint="eastAsia" w:ascii="宋体" w:hAnsi="宋体" w:eastAsia="宋体" w:cs="宋体"/>
                <w:b/>
                <w:bCs/>
                <w:i w:val="0"/>
                <w:iCs w:val="0"/>
                <w:color w:val="auto"/>
                <w:kern w:val="0"/>
                <w:sz w:val="24"/>
                <w:szCs w:val="24"/>
                <w:u w:val="none"/>
                <w:lang w:val="en-US" w:eastAsia="zh-CN" w:bidi="ar"/>
              </w:rPr>
              <w:t>脉动真空灭菌器</w:t>
            </w:r>
            <w:r>
              <w:rPr>
                <w:rFonts w:hint="eastAsia" w:ascii="宋体" w:hAnsi="宋体" w:eastAsia="宋体" w:cs="宋体"/>
                <w:b w:val="0"/>
                <w:bCs w:val="0"/>
                <w:color w:val="auto"/>
                <w:sz w:val="21"/>
                <w:szCs w:val="21"/>
                <w:highlight w:val="none"/>
                <w:lang w:val="en-US" w:eastAsia="zh-CN"/>
              </w:rPr>
              <w:t>”自2022年1月1日以来类似的项目业绩(以合同签订日期为准)，每份得1分，最多得3分。</w:t>
            </w:r>
          </w:p>
          <w:p w14:paraId="58178B1C">
            <w:pPr>
              <w:keepNext w:val="0"/>
              <w:keepLines w:val="0"/>
              <w:pageBreakBefore w:val="0"/>
              <w:widowControl w:val="0"/>
              <w:numPr>
                <w:ilvl w:val="0"/>
                <w:numId w:val="0"/>
              </w:numPr>
              <w:spacing w:line="32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注：业绩需提供合同原件或原件扫描件，所提供资料须内容完整，否则不得分；</w:t>
            </w:r>
          </w:p>
        </w:tc>
      </w:tr>
    </w:tbl>
    <w:p w14:paraId="46B9CD72">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14:paraId="0367625D">
      <w:pPr>
        <w:pStyle w:val="12"/>
        <w:keepNext/>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p>
    <w:p w14:paraId="0F14EBB7">
      <w:pPr>
        <w:pStyle w:val="12"/>
        <w:keepNext/>
        <w:spacing w:beforeAutospacing="0" w:afterAutospacing="0"/>
        <w:jc w:val="center"/>
        <w:rPr>
          <w:rFonts w:hint="eastAsia" w:ascii="黑体" w:hAnsi="宋体" w:eastAsia="黑体" w:cs="黑体"/>
          <w:color w:val="000000"/>
          <w:sz w:val="44"/>
          <w:szCs w:val="44"/>
          <w:highlight w:val="none"/>
        </w:rPr>
      </w:pPr>
    </w:p>
    <w:p w14:paraId="0B1A27A8">
      <w:pPr>
        <w:pStyle w:val="12"/>
        <w:spacing w:beforeAutospacing="0" w:afterAutospacing="0"/>
        <w:jc w:val="center"/>
        <w:rPr>
          <w:highlight w:val="none"/>
        </w:rPr>
      </w:pPr>
      <w:bookmarkStart w:id="165" w:name="_Toc120614282"/>
      <w:bookmarkEnd w:id="165"/>
      <w:bookmarkStart w:id="166" w:name="_Toc49090576"/>
      <w:bookmarkEnd w:id="166"/>
      <w:bookmarkStart w:id="167" w:name="_Hlt26671244"/>
      <w:bookmarkStart w:id="168" w:name="_Hlt26955039"/>
      <w:bookmarkStart w:id="169" w:name="_Toc26554094"/>
      <w:r>
        <w:rPr>
          <w:rFonts w:hint="eastAsia" w:ascii="宋体" w:hAnsi="宋体" w:eastAsia="宋体" w:cs="宋体"/>
          <w:b/>
          <w:color w:val="000000"/>
          <w:sz w:val="72"/>
          <w:szCs w:val="72"/>
          <w:highlight w:val="none"/>
        </w:rPr>
        <w:t>投  标  文  件</w:t>
      </w:r>
    </w:p>
    <w:p w14:paraId="6F7385F4">
      <w:pPr>
        <w:pStyle w:val="12"/>
        <w:spacing w:beforeAutospacing="0" w:afterAutospacing="0"/>
        <w:jc w:val="center"/>
        <w:rPr>
          <w:highlight w:val="none"/>
        </w:rPr>
      </w:pPr>
      <w:r>
        <w:rPr>
          <w:highlight w:val="none"/>
        </w:rPr>
        <w:t> </w:t>
      </w:r>
    </w:p>
    <w:p w14:paraId="116EE8BE">
      <w:pPr>
        <w:pStyle w:val="12"/>
        <w:spacing w:beforeAutospacing="0" w:afterAutospacing="0"/>
        <w:jc w:val="center"/>
        <w:rPr>
          <w:highlight w:val="none"/>
        </w:rPr>
      </w:pPr>
      <w:r>
        <w:rPr>
          <w:highlight w:val="none"/>
        </w:rPr>
        <w:t> </w:t>
      </w:r>
    </w:p>
    <w:p w14:paraId="1689E381">
      <w:pPr>
        <w:pStyle w:val="12"/>
        <w:spacing w:beforeAutospacing="0" w:afterAutospacing="0"/>
        <w:jc w:val="center"/>
        <w:rPr>
          <w:highlight w:val="none"/>
        </w:rPr>
      </w:pPr>
      <w:r>
        <w:rPr>
          <w:highlight w:val="none"/>
        </w:rPr>
        <w:t> </w:t>
      </w:r>
    </w:p>
    <w:p w14:paraId="1172103B">
      <w:pPr>
        <w:pStyle w:val="12"/>
        <w:spacing w:beforeAutospacing="0" w:afterAutospacing="0"/>
        <w:jc w:val="center"/>
        <w:rPr>
          <w:highlight w:val="none"/>
        </w:rPr>
      </w:pPr>
      <w:r>
        <w:rPr>
          <w:highlight w:val="none"/>
        </w:rPr>
        <w:t> </w:t>
      </w:r>
    </w:p>
    <w:p w14:paraId="773BE420">
      <w:pPr>
        <w:pStyle w:val="12"/>
        <w:spacing w:beforeAutospacing="0" w:afterAutospacing="0"/>
        <w:jc w:val="center"/>
        <w:rPr>
          <w:highlight w:val="none"/>
        </w:rPr>
      </w:pPr>
      <w:r>
        <w:rPr>
          <w:highlight w:val="none"/>
        </w:rPr>
        <w:t> </w:t>
      </w:r>
    </w:p>
    <w:p w14:paraId="0D9C9B44">
      <w:pPr>
        <w:pStyle w:val="12"/>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14:paraId="4C9C4B28">
      <w:pPr>
        <w:pStyle w:val="12"/>
        <w:spacing w:beforeAutospacing="0" w:afterAutospacing="0"/>
        <w:ind w:firstLine="1084"/>
        <w:jc w:val="both"/>
        <w:rPr>
          <w:highlight w:val="non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2B329B95">
      <w:pPr>
        <w:pStyle w:val="12"/>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（加盖CA电子公章）</w:t>
      </w:r>
    </w:p>
    <w:p w14:paraId="1E760D54">
      <w:pPr>
        <w:pStyle w:val="12"/>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307A6EE9">
      <w:pPr>
        <w:pStyle w:val="12"/>
        <w:spacing w:beforeAutospacing="0" w:afterAutospacing="0" w:line="0" w:lineRule="atLeast"/>
        <w:jc w:val="center"/>
        <w:rPr>
          <w:highlight w:val="none"/>
        </w:rPr>
      </w:pPr>
    </w:p>
    <w:p w14:paraId="522BF4B7">
      <w:pPr>
        <w:pStyle w:val="12"/>
        <w:spacing w:beforeAutospacing="0" w:afterAutospacing="0" w:line="0" w:lineRule="atLeast"/>
        <w:jc w:val="center"/>
        <w:rPr>
          <w:highlight w:val="none"/>
        </w:rPr>
      </w:pPr>
    </w:p>
    <w:p w14:paraId="1D6C4EA9">
      <w:pPr>
        <w:pStyle w:val="12"/>
        <w:spacing w:beforeAutospacing="0" w:afterAutospacing="0" w:line="0" w:lineRule="atLeast"/>
        <w:jc w:val="center"/>
        <w:rPr>
          <w:highlight w:val="none"/>
        </w:rPr>
      </w:pPr>
    </w:p>
    <w:p w14:paraId="3FCD9059">
      <w:pPr>
        <w:pStyle w:val="12"/>
        <w:spacing w:beforeAutospacing="0" w:afterAutospacing="0" w:line="0" w:lineRule="atLeast"/>
        <w:jc w:val="center"/>
        <w:rPr>
          <w:highlight w:val="none"/>
        </w:rPr>
      </w:pPr>
    </w:p>
    <w:p w14:paraId="65EE8389">
      <w:pPr>
        <w:pStyle w:val="12"/>
        <w:spacing w:beforeAutospacing="0" w:afterAutospacing="0" w:line="0" w:lineRule="atLeast"/>
        <w:jc w:val="center"/>
        <w:rPr>
          <w:highlight w:val="none"/>
        </w:rPr>
      </w:pPr>
    </w:p>
    <w:p w14:paraId="1F00DE46">
      <w:pPr>
        <w:pStyle w:val="12"/>
        <w:spacing w:beforeAutospacing="0" w:afterAutospacing="0" w:line="0" w:lineRule="atLeast"/>
        <w:jc w:val="center"/>
        <w:rPr>
          <w:highlight w:val="none"/>
        </w:rPr>
      </w:pPr>
    </w:p>
    <w:p w14:paraId="1FFCB483">
      <w:pPr>
        <w:pStyle w:val="12"/>
        <w:spacing w:beforeAutospacing="0" w:afterAutospacing="0" w:line="0" w:lineRule="atLeast"/>
        <w:jc w:val="center"/>
        <w:rPr>
          <w:highlight w:val="none"/>
        </w:rPr>
      </w:pPr>
    </w:p>
    <w:p w14:paraId="69C2000F">
      <w:pPr>
        <w:pStyle w:val="12"/>
        <w:spacing w:beforeAutospacing="0" w:afterAutospacing="0" w:line="0" w:lineRule="atLeast"/>
        <w:jc w:val="center"/>
        <w:rPr>
          <w:highlight w:val="none"/>
        </w:rPr>
      </w:pPr>
    </w:p>
    <w:p w14:paraId="7E4BDA90">
      <w:pPr>
        <w:pStyle w:val="12"/>
        <w:spacing w:beforeAutospacing="0" w:afterAutospacing="0" w:line="0" w:lineRule="atLeast"/>
        <w:jc w:val="center"/>
        <w:rPr>
          <w:highlight w:val="none"/>
        </w:rPr>
      </w:pPr>
    </w:p>
    <w:p w14:paraId="50411275">
      <w:pPr>
        <w:pStyle w:val="12"/>
        <w:spacing w:beforeAutospacing="0" w:afterAutospacing="0" w:line="0" w:lineRule="atLeast"/>
        <w:jc w:val="center"/>
        <w:rPr>
          <w:highlight w:val="none"/>
        </w:rPr>
      </w:pPr>
    </w:p>
    <w:p w14:paraId="35984E94">
      <w:pPr>
        <w:pStyle w:val="12"/>
        <w:spacing w:beforeAutospacing="0" w:afterAutospacing="0" w:line="0" w:lineRule="atLeast"/>
        <w:jc w:val="center"/>
        <w:rPr>
          <w:highlight w:val="none"/>
        </w:rPr>
      </w:pPr>
    </w:p>
    <w:p w14:paraId="0EA21101">
      <w:pPr>
        <w:pStyle w:val="12"/>
        <w:spacing w:beforeAutospacing="0" w:afterAutospacing="0" w:line="0" w:lineRule="atLeast"/>
        <w:jc w:val="center"/>
        <w:rPr>
          <w:highlight w:val="none"/>
        </w:rPr>
      </w:pPr>
    </w:p>
    <w:p w14:paraId="598F55FA">
      <w:pPr>
        <w:pStyle w:val="12"/>
        <w:spacing w:beforeAutospacing="0" w:afterAutospacing="0" w:line="0" w:lineRule="atLeast"/>
        <w:jc w:val="center"/>
        <w:rPr>
          <w:highlight w:val="none"/>
        </w:rPr>
      </w:pPr>
    </w:p>
    <w:p w14:paraId="5694C6B0">
      <w:pPr>
        <w:pStyle w:val="12"/>
        <w:spacing w:beforeAutospacing="0" w:afterAutospacing="0" w:line="0" w:lineRule="atLeast"/>
        <w:jc w:val="center"/>
        <w:rPr>
          <w:highlight w:val="none"/>
        </w:rPr>
      </w:pPr>
    </w:p>
    <w:p w14:paraId="014757FE">
      <w:pPr>
        <w:pStyle w:val="12"/>
        <w:spacing w:beforeAutospacing="0" w:afterAutospacing="0" w:line="0" w:lineRule="atLeast"/>
        <w:jc w:val="center"/>
        <w:rPr>
          <w:highlight w:val="none"/>
        </w:rPr>
      </w:pPr>
    </w:p>
    <w:p w14:paraId="557FDC97">
      <w:pPr>
        <w:pStyle w:val="12"/>
        <w:spacing w:beforeAutospacing="0" w:afterAutospacing="0" w:line="0" w:lineRule="atLeast"/>
        <w:jc w:val="center"/>
        <w:rPr>
          <w:highlight w:val="none"/>
        </w:rPr>
      </w:pPr>
    </w:p>
    <w:p w14:paraId="77D2DCD6">
      <w:pPr>
        <w:pStyle w:val="12"/>
        <w:spacing w:beforeAutospacing="0" w:afterAutospacing="0" w:line="0" w:lineRule="atLeast"/>
        <w:jc w:val="center"/>
        <w:rPr>
          <w:highlight w:val="none"/>
        </w:rPr>
      </w:pPr>
    </w:p>
    <w:p w14:paraId="6C7F995A">
      <w:pPr>
        <w:pStyle w:val="12"/>
        <w:spacing w:beforeAutospacing="0" w:afterAutospacing="0" w:line="0" w:lineRule="atLeast"/>
        <w:jc w:val="center"/>
        <w:rPr>
          <w:highlight w:val="none"/>
        </w:rPr>
      </w:pPr>
    </w:p>
    <w:p w14:paraId="1B5D24F9">
      <w:pPr>
        <w:pStyle w:val="12"/>
        <w:spacing w:beforeAutospacing="0" w:afterAutospacing="0" w:line="0" w:lineRule="atLeast"/>
        <w:jc w:val="center"/>
        <w:rPr>
          <w:highlight w:val="none"/>
        </w:rPr>
      </w:pPr>
    </w:p>
    <w:p w14:paraId="5E66756A">
      <w:pPr>
        <w:pStyle w:val="12"/>
        <w:spacing w:beforeAutospacing="0" w:afterAutospacing="0" w:line="0" w:lineRule="atLeast"/>
        <w:jc w:val="center"/>
        <w:rPr>
          <w:highlight w:val="none"/>
        </w:rPr>
      </w:pPr>
    </w:p>
    <w:p w14:paraId="28E7D65B">
      <w:pPr>
        <w:pStyle w:val="12"/>
        <w:spacing w:beforeAutospacing="0" w:afterAutospacing="0" w:line="0" w:lineRule="atLeast"/>
        <w:jc w:val="center"/>
        <w:rPr>
          <w:highlight w:val="none"/>
        </w:rPr>
      </w:pPr>
    </w:p>
    <w:p w14:paraId="1ACE5702">
      <w:pPr>
        <w:pStyle w:val="12"/>
        <w:spacing w:beforeAutospacing="0" w:afterAutospacing="0" w:line="0" w:lineRule="atLeast"/>
        <w:jc w:val="center"/>
        <w:rPr>
          <w:highlight w:val="none"/>
        </w:rPr>
      </w:pPr>
    </w:p>
    <w:p w14:paraId="64E3AB68">
      <w:pPr>
        <w:pStyle w:val="12"/>
        <w:spacing w:beforeAutospacing="0" w:afterAutospacing="0" w:line="0" w:lineRule="atLeast"/>
        <w:jc w:val="center"/>
        <w:rPr>
          <w:highlight w:val="none"/>
        </w:rPr>
      </w:pPr>
    </w:p>
    <w:p w14:paraId="4257AF04">
      <w:pPr>
        <w:pStyle w:val="12"/>
        <w:spacing w:beforeAutospacing="0" w:afterAutospacing="0" w:line="0" w:lineRule="atLeast"/>
        <w:jc w:val="center"/>
        <w:rPr>
          <w:highlight w:val="none"/>
        </w:rPr>
      </w:pPr>
    </w:p>
    <w:p w14:paraId="00C82BB9">
      <w:pPr>
        <w:pStyle w:val="12"/>
        <w:spacing w:beforeAutospacing="0" w:afterAutospacing="0" w:line="0" w:lineRule="atLeast"/>
        <w:jc w:val="center"/>
        <w:rPr>
          <w:highlight w:val="none"/>
        </w:rPr>
      </w:pPr>
    </w:p>
    <w:p w14:paraId="11655BD1">
      <w:pPr>
        <w:pStyle w:val="12"/>
        <w:spacing w:beforeAutospacing="0" w:afterAutospacing="0" w:line="0" w:lineRule="atLeast"/>
        <w:jc w:val="center"/>
        <w:rPr>
          <w:highlight w:val="none"/>
        </w:rPr>
      </w:pPr>
    </w:p>
    <w:p w14:paraId="5F9B54D1">
      <w:pPr>
        <w:pStyle w:val="12"/>
        <w:spacing w:beforeAutospacing="0" w:afterAutospacing="0" w:line="0" w:lineRule="atLeast"/>
        <w:jc w:val="center"/>
        <w:rPr>
          <w:highlight w:val="none"/>
        </w:rPr>
      </w:pPr>
    </w:p>
    <w:p w14:paraId="33439636">
      <w:pPr>
        <w:pStyle w:val="12"/>
        <w:spacing w:beforeAutospacing="0" w:afterAutospacing="0" w:line="0" w:lineRule="atLeast"/>
        <w:jc w:val="center"/>
        <w:rPr>
          <w:highlight w:val="none"/>
        </w:rPr>
      </w:pPr>
    </w:p>
    <w:p w14:paraId="659BF965">
      <w:pPr>
        <w:pStyle w:val="12"/>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0D494503">
      <w:pPr>
        <w:pStyle w:val="12"/>
        <w:spacing w:beforeAutospacing="0" w:afterAutospacing="0" w:line="0" w:lineRule="atLeast"/>
        <w:jc w:val="center"/>
        <w:rPr>
          <w:highlight w:val="none"/>
        </w:rPr>
      </w:pPr>
      <w:r>
        <w:rPr>
          <w:highlight w:val="none"/>
        </w:rPr>
        <w:t> </w:t>
      </w:r>
    </w:p>
    <w:p w14:paraId="2DD541B5">
      <w:pPr>
        <w:pStyle w:val="12"/>
        <w:spacing w:beforeAutospacing="0" w:afterAutospacing="0"/>
        <w:ind w:left="480"/>
        <w:jc w:val="both"/>
        <w:rPr>
          <w:i w:val="0"/>
          <w:iCs/>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3C361A66">
      <w:pPr>
        <w:tabs>
          <w:tab w:val="left" w:pos="1331"/>
        </w:tabs>
        <w:bidi w:val="0"/>
        <w:ind w:firstLine="480" w:firstLineChars="200"/>
        <w:jc w:val="left"/>
        <w:rPr>
          <w:i w:val="0"/>
          <w:iCs/>
          <w:highlight w:val="none"/>
          <w:u w:val="none"/>
        </w:rPr>
      </w:pPr>
      <w:r>
        <w:rPr>
          <w:rFonts w:hint="eastAsia" w:ascii="宋体" w:hAnsi="宋体" w:eastAsia="宋体" w:cs="宋体"/>
          <w:i w:val="0"/>
          <w:iCs/>
          <w:color w:val="000000"/>
          <w:kern w:val="0"/>
          <w:sz w:val="24"/>
          <w:szCs w:val="24"/>
          <w:highlight w:val="none"/>
          <w:u w:val="none"/>
          <w:lang w:val="en-US" w:eastAsia="zh-CN" w:bidi="ar-SA"/>
        </w:rPr>
        <w:t>二、上一年度的财务状况报表（至少提供资产负债表、利润表、现金流量表，投标人成立不满一年无需提供）</w:t>
      </w:r>
    </w:p>
    <w:p w14:paraId="3629C146">
      <w:pPr>
        <w:pStyle w:val="12"/>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45838A78">
      <w:pPr>
        <w:pStyle w:val="12"/>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pStyle w:val="12"/>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7725A162">
      <w:pPr>
        <w:pStyle w:val="12"/>
        <w:spacing w:beforeAutospacing="0" w:afterAutospacing="0"/>
        <w:ind w:left="480"/>
        <w:jc w:val="both"/>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六、特定资格要求的证明文件</w:t>
      </w:r>
      <w:r>
        <w:rPr>
          <w:rFonts w:hint="eastAsia" w:ascii="宋体" w:hAnsi="宋体" w:eastAsia="宋体" w:cs="宋体"/>
          <w:i w:val="0"/>
          <w:iCs/>
          <w:color w:val="000000"/>
          <w:highlight w:val="none"/>
          <w:u w:val="none"/>
          <w:lang w:eastAsia="zh-CN"/>
        </w:rPr>
        <w:t>：</w:t>
      </w:r>
    </w:p>
    <w:p w14:paraId="016E13FD">
      <w:pPr>
        <w:pStyle w:val="12"/>
        <w:spacing w:beforeAutospacing="0" w:afterAutospacing="0" w:line="0" w:lineRule="atLeast"/>
        <w:ind w:firstLine="480"/>
        <w:jc w:val="both"/>
        <w:rPr>
          <w:rFonts w:hint="eastAsia"/>
          <w:iCs/>
        </w:rPr>
      </w:pPr>
      <w:r>
        <w:rPr>
          <w:rFonts w:hint="eastAsia"/>
          <w:iCs/>
        </w:rPr>
        <w:t>（如果本项目设置特定资格要求，则需要提供）</w:t>
      </w:r>
    </w:p>
    <w:p w14:paraId="57BC2220">
      <w:pPr>
        <w:pStyle w:val="12"/>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七、法人授权书</w:t>
      </w:r>
    </w:p>
    <w:p w14:paraId="0FD35EF1">
      <w:pPr>
        <w:pStyle w:val="12"/>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八、投标函</w:t>
      </w:r>
    </w:p>
    <w:p w14:paraId="62AB6C8F">
      <w:pPr>
        <w:pStyle w:val="12"/>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九、</w:t>
      </w:r>
      <w:r>
        <w:rPr>
          <w:rFonts w:hint="eastAsia"/>
        </w:rPr>
        <w:t>小微</w:t>
      </w:r>
      <w:r>
        <w:rPr>
          <w:rFonts w:hint="eastAsia" w:ascii="宋体" w:hAnsi="宋体" w:eastAsia="宋体" w:cs="宋体"/>
          <w:i w:val="0"/>
          <w:iCs/>
          <w:color w:val="auto"/>
          <w:highlight w:val="none"/>
          <w:u w:val="none"/>
        </w:rPr>
        <w:t>企业声明函</w:t>
      </w:r>
      <w:r>
        <w:rPr>
          <w:rFonts w:hint="eastAsia" w:ascii="宋体" w:hAnsi="宋体" w:eastAsia="宋体" w:cs="宋体"/>
          <w:color w:val="auto"/>
          <w:sz w:val="24"/>
        </w:rPr>
        <w:t>（如有）</w:t>
      </w:r>
    </w:p>
    <w:p w14:paraId="60ADE039">
      <w:pPr>
        <w:pStyle w:val="12"/>
        <w:spacing w:beforeAutospacing="0" w:afterAutospacing="0" w:line="0" w:lineRule="atLeast"/>
        <w:ind w:firstLine="480"/>
        <w:jc w:val="both"/>
        <w:rPr>
          <w:rFonts w:hint="eastAsia" w:ascii="宋体" w:hAnsi="宋体" w:eastAsia="宋体" w:cs="宋体"/>
          <w:color w:val="auto"/>
          <w:sz w:val="24"/>
        </w:rPr>
      </w:pPr>
      <w:r>
        <w:rPr>
          <w:rFonts w:hint="eastAsia" w:ascii="宋体" w:hAnsi="宋体" w:eastAsia="宋体" w:cs="宋体"/>
          <w:i w:val="0"/>
          <w:iCs/>
          <w:color w:val="000000"/>
          <w:highlight w:val="none"/>
          <w:u w:val="none"/>
        </w:rPr>
        <w:t>十、残疾人福利性单位声明函</w:t>
      </w:r>
      <w:r>
        <w:rPr>
          <w:rFonts w:hint="eastAsia" w:ascii="宋体" w:hAnsi="宋体" w:eastAsia="宋体" w:cs="宋体"/>
          <w:color w:val="auto"/>
          <w:sz w:val="24"/>
        </w:rPr>
        <w:t>（如有）</w:t>
      </w:r>
    </w:p>
    <w:p w14:paraId="2D8EE7B9">
      <w:pPr>
        <w:pStyle w:val="12"/>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十一、联合体协议（如有）</w:t>
      </w:r>
    </w:p>
    <w:p w14:paraId="5C2F7CC0">
      <w:pPr>
        <w:pStyle w:val="12"/>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十二、投标分项报价表</w:t>
      </w:r>
    </w:p>
    <w:p w14:paraId="48FEB0BD">
      <w:pPr>
        <w:pStyle w:val="12"/>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十三、技术要求响应及偏离表</w:t>
      </w:r>
    </w:p>
    <w:p w14:paraId="317857EF">
      <w:pPr>
        <w:pStyle w:val="12"/>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十四、商务要求响应及偏离表</w:t>
      </w:r>
    </w:p>
    <w:p w14:paraId="5ADE43EC">
      <w:pPr>
        <w:pStyle w:val="12"/>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十五、开标一览表</w:t>
      </w:r>
    </w:p>
    <w:p w14:paraId="2BC687D9">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十六、盐城市政府采购事前信用承诺书</w:t>
      </w:r>
    </w:p>
    <w:p w14:paraId="5DC42E2E">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十七、根据招标文件“第五章 定标原则与评标标准”的要求需要提供的材料及投标人认为有必要提供的其他材料</w:t>
      </w:r>
    </w:p>
    <w:p w14:paraId="5C7C0F9C">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rPr>
      </w:pPr>
    </w:p>
    <w:p w14:paraId="626E3581">
      <w:pPr>
        <w:pStyle w:val="12"/>
        <w:spacing w:beforeAutospacing="0" w:afterAutospacing="0" w:line="0" w:lineRule="atLeast"/>
        <w:ind w:firstLine="480"/>
        <w:jc w:val="both"/>
        <w:rPr>
          <w:highlight w:val="none"/>
        </w:rPr>
      </w:pPr>
      <w:r>
        <w:rPr>
          <w:highlight w:val="none"/>
        </w:rPr>
        <w:t> </w:t>
      </w:r>
    </w:p>
    <w:p w14:paraId="664E19FE">
      <w:pPr>
        <w:pStyle w:val="12"/>
        <w:spacing w:beforeAutospacing="0" w:afterAutospacing="0" w:line="0" w:lineRule="atLeast"/>
        <w:ind w:firstLine="480"/>
        <w:jc w:val="both"/>
        <w:rPr>
          <w:highlight w:val="none"/>
        </w:rPr>
      </w:pPr>
      <w:r>
        <w:rPr>
          <w:highlight w:val="none"/>
        </w:rPr>
        <w:t> </w:t>
      </w:r>
    </w:p>
    <w:p w14:paraId="347B9BE8">
      <w:pPr>
        <w:pStyle w:val="12"/>
        <w:spacing w:beforeAutospacing="0" w:afterAutospacing="0" w:line="0" w:lineRule="atLeast"/>
        <w:ind w:firstLine="480"/>
        <w:jc w:val="both"/>
        <w:rPr>
          <w:highlight w:val="none"/>
        </w:rPr>
      </w:pPr>
      <w:r>
        <w:rPr>
          <w:highlight w:val="none"/>
        </w:rPr>
        <w:t> </w:t>
      </w:r>
    </w:p>
    <w:p w14:paraId="0DAE4FA9">
      <w:pPr>
        <w:pStyle w:val="12"/>
        <w:spacing w:beforeAutospacing="0" w:afterAutospacing="0" w:line="0" w:lineRule="atLeast"/>
        <w:ind w:firstLine="480"/>
        <w:jc w:val="both"/>
        <w:rPr>
          <w:highlight w:val="none"/>
        </w:rPr>
      </w:pPr>
      <w:r>
        <w:rPr>
          <w:highlight w:val="none"/>
        </w:rPr>
        <w:t> </w:t>
      </w:r>
    </w:p>
    <w:p w14:paraId="6683C043">
      <w:pPr>
        <w:pStyle w:val="12"/>
        <w:spacing w:beforeAutospacing="0" w:afterAutospacing="0" w:line="0" w:lineRule="atLeast"/>
        <w:ind w:firstLine="480"/>
        <w:jc w:val="both"/>
        <w:rPr>
          <w:highlight w:val="none"/>
        </w:rPr>
      </w:pPr>
      <w:r>
        <w:rPr>
          <w:highlight w:val="none"/>
        </w:rPr>
        <w:t> </w:t>
      </w:r>
    </w:p>
    <w:p w14:paraId="3D740BC1">
      <w:pPr>
        <w:pStyle w:val="12"/>
        <w:spacing w:beforeAutospacing="0" w:afterAutospacing="0" w:line="0" w:lineRule="atLeast"/>
        <w:ind w:firstLine="480"/>
        <w:jc w:val="both"/>
        <w:rPr>
          <w:highlight w:val="none"/>
        </w:rPr>
      </w:pPr>
      <w:r>
        <w:rPr>
          <w:highlight w:val="none"/>
        </w:rPr>
        <w:t> </w:t>
      </w:r>
    </w:p>
    <w:p w14:paraId="783B6C87">
      <w:pPr>
        <w:pStyle w:val="12"/>
        <w:spacing w:beforeAutospacing="0" w:afterAutospacing="0" w:line="0" w:lineRule="atLeast"/>
        <w:ind w:firstLine="480"/>
        <w:jc w:val="both"/>
        <w:rPr>
          <w:highlight w:val="none"/>
        </w:rPr>
      </w:pPr>
      <w:r>
        <w:rPr>
          <w:highlight w:val="none"/>
        </w:rPr>
        <w:t> </w:t>
      </w:r>
    </w:p>
    <w:p w14:paraId="2D5F1C1C">
      <w:pPr>
        <w:pStyle w:val="12"/>
        <w:spacing w:beforeAutospacing="0" w:afterAutospacing="0" w:line="0" w:lineRule="atLeast"/>
        <w:ind w:firstLine="480"/>
        <w:jc w:val="both"/>
        <w:rPr>
          <w:highlight w:val="none"/>
        </w:rPr>
      </w:pPr>
      <w:r>
        <w:rPr>
          <w:highlight w:val="none"/>
        </w:rPr>
        <w:t> </w:t>
      </w:r>
    </w:p>
    <w:p w14:paraId="2301786D">
      <w:pPr>
        <w:pStyle w:val="12"/>
        <w:spacing w:beforeAutospacing="0" w:afterAutospacing="0" w:line="0" w:lineRule="atLeast"/>
        <w:ind w:firstLine="480"/>
        <w:jc w:val="both"/>
        <w:rPr>
          <w:highlight w:val="none"/>
        </w:rPr>
      </w:pPr>
    </w:p>
    <w:p w14:paraId="6C2389A3">
      <w:pPr>
        <w:pStyle w:val="12"/>
        <w:spacing w:beforeAutospacing="0" w:afterAutospacing="0" w:line="0" w:lineRule="atLeast"/>
        <w:ind w:firstLine="480"/>
        <w:jc w:val="both"/>
        <w:rPr>
          <w:highlight w:val="none"/>
        </w:rPr>
      </w:pPr>
    </w:p>
    <w:p w14:paraId="6F6DF033">
      <w:pPr>
        <w:pStyle w:val="12"/>
        <w:spacing w:beforeAutospacing="0" w:afterAutospacing="0" w:line="0" w:lineRule="atLeast"/>
        <w:ind w:firstLine="480"/>
        <w:jc w:val="both"/>
        <w:rPr>
          <w:highlight w:val="none"/>
        </w:rPr>
      </w:pPr>
    </w:p>
    <w:p w14:paraId="7C3831BB">
      <w:pPr>
        <w:pStyle w:val="12"/>
        <w:spacing w:beforeAutospacing="0" w:afterAutospacing="0" w:line="0" w:lineRule="atLeast"/>
        <w:ind w:firstLine="480"/>
        <w:jc w:val="both"/>
        <w:rPr>
          <w:highlight w:val="none"/>
        </w:rPr>
      </w:pPr>
    </w:p>
    <w:p w14:paraId="2A467105">
      <w:pPr>
        <w:pStyle w:val="12"/>
        <w:spacing w:beforeAutospacing="0" w:afterAutospacing="0" w:line="0" w:lineRule="atLeast"/>
        <w:ind w:firstLine="480"/>
        <w:jc w:val="both"/>
        <w:rPr>
          <w:highlight w:val="none"/>
        </w:rPr>
      </w:pPr>
    </w:p>
    <w:p w14:paraId="774BE99C">
      <w:pPr>
        <w:pStyle w:val="12"/>
        <w:spacing w:beforeAutospacing="0" w:afterAutospacing="0" w:line="0" w:lineRule="atLeast"/>
        <w:ind w:firstLine="480"/>
        <w:jc w:val="both"/>
        <w:rPr>
          <w:highlight w:val="none"/>
        </w:rPr>
      </w:pPr>
    </w:p>
    <w:p w14:paraId="3AD857B3">
      <w:pPr>
        <w:pStyle w:val="12"/>
        <w:spacing w:beforeAutospacing="0" w:afterAutospacing="0" w:line="0" w:lineRule="atLeast"/>
        <w:ind w:firstLine="480"/>
        <w:jc w:val="both"/>
        <w:rPr>
          <w:highlight w:val="none"/>
        </w:rPr>
      </w:pPr>
    </w:p>
    <w:p w14:paraId="51F7F7AF">
      <w:pPr>
        <w:pStyle w:val="12"/>
        <w:spacing w:beforeAutospacing="0" w:afterAutospacing="0" w:line="0" w:lineRule="atLeast"/>
        <w:ind w:firstLine="480"/>
        <w:jc w:val="both"/>
        <w:rPr>
          <w:highlight w:val="none"/>
        </w:rPr>
      </w:pPr>
    </w:p>
    <w:p w14:paraId="03935D06">
      <w:pPr>
        <w:pStyle w:val="12"/>
        <w:spacing w:beforeAutospacing="0" w:afterAutospacing="0" w:line="0" w:lineRule="atLeast"/>
        <w:ind w:firstLine="480"/>
        <w:jc w:val="both"/>
        <w:rPr>
          <w:highlight w:val="none"/>
        </w:rPr>
      </w:pPr>
    </w:p>
    <w:p w14:paraId="4F21745B">
      <w:pPr>
        <w:pStyle w:val="12"/>
        <w:spacing w:beforeAutospacing="0" w:afterAutospacing="0" w:line="0" w:lineRule="atLeast"/>
        <w:ind w:firstLine="480"/>
        <w:jc w:val="both"/>
        <w:rPr>
          <w:highlight w:val="none"/>
        </w:rPr>
      </w:pPr>
    </w:p>
    <w:p w14:paraId="044306C3">
      <w:pPr>
        <w:pStyle w:val="12"/>
        <w:spacing w:beforeAutospacing="0" w:afterAutospacing="0" w:line="0" w:lineRule="atLeast"/>
        <w:ind w:firstLine="480"/>
        <w:jc w:val="both"/>
        <w:rPr>
          <w:highlight w:val="none"/>
        </w:rPr>
      </w:pPr>
      <w:r>
        <w:rPr>
          <w:highlight w:val="none"/>
        </w:rPr>
        <w:t> </w:t>
      </w:r>
    </w:p>
    <w:p w14:paraId="374F5D55">
      <w:pPr>
        <w:pStyle w:val="12"/>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71FFF976">
      <w:pPr>
        <w:pStyle w:val="12"/>
        <w:spacing w:beforeAutospacing="0" w:afterAutospacing="0" w:line="0" w:lineRule="atLeast"/>
        <w:ind w:firstLine="480"/>
        <w:jc w:val="both"/>
        <w:rPr>
          <w:highlight w:val="none"/>
        </w:rPr>
      </w:pPr>
      <w:r>
        <w:rPr>
          <w:highlight w:val="none"/>
        </w:rPr>
        <w:t> </w:t>
      </w:r>
    </w:p>
    <w:p w14:paraId="61468E47">
      <w:pPr>
        <w:pStyle w:val="12"/>
        <w:spacing w:beforeAutospacing="0" w:afterAutospacing="0"/>
        <w:jc w:val="both"/>
        <w:rPr>
          <w:rFonts w:eastAsia="黑体"/>
          <w:highlight w:val="none"/>
        </w:rPr>
      </w:pPr>
      <w:r>
        <w:rPr>
          <w:rFonts w:hint="eastAsia" w:ascii="黑体" w:hAnsi="宋体" w:eastAsia="黑体" w:cs="黑体"/>
          <w:i/>
          <w:color w:val="000000"/>
          <w:sz w:val="32"/>
          <w:szCs w:val="32"/>
          <w:highlight w:val="none"/>
          <w:u w:val="single"/>
        </w:rPr>
        <w:t>二、上一年度的财务状况报表</w:t>
      </w:r>
    </w:p>
    <w:p w14:paraId="292847BA">
      <w:pPr>
        <w:pStyle w:val="29"/>
        <w:kinsoku/>
        <w:wordWrap w:val="0"/>
        <w:overflowPunct/>
        <w:topLinePunct w:val="0"/>
        <w:autoSpaceDE/>
        <w:autoSpaceDN/>
        <w:bidi w:val="0"/>
        <w:adjustRightInd/>
        <w:snapToGrid/>
        <w:spacing w:beforeAutospacing="0" w:afterAutospacing="0" w:line="360" w:lineRule="auto"/>
        <w:ind w:firstLine="480"/>
        <w:jc w:val="both"/>
        <w:textAlignment w:val="auto"/>
        <w:rPr>
          <w:color w:val="auto"/>
        </w:rPr>
      </w:pPr>
      <w:r>
        <w:rPr>
          <w:rFonts w:hint="eastAsia"/>
          <w:color w:val="auto"/>
        </w:rPr>
        <w:t>（</w:t>
      </w:r>
      <w:r>
        <w:rPr>
          <w:rFonts w:hint="eastAsia" w:ascii="宋体" w:hAnsi="宋体" w:cs="宋体"/>
          <w:color w:val="auto"/>
        </w:rPr>
        <w:t>投标人成立不满一年不需提供。</w:t>
      </w:r>
      <w:r>
        <w:rPr>
          <w:rFonts w:hint="eastAsia"/>
          <w:color w:val="auto"/>
        </w:rPr>
        <w:t>）</w:t>
      </w:r>
    </w:p>
    <w:p w14:paraId="13CE4AFE">
      <w:pPr>
        <w:pStyle w:val="12"/>
        <w:spacing w:beforeAutospacing="0" w:afterAutospacing="0"/>
        <w:jc w:val="both"/>
        <w:rPr>
          <w:highlight w:val="none"/>
        </w:rPr>
      </w:pPr>
      <w:r>
        <w:rPr>
          <w:highlight w:val="none"/>
        </w:rPr>
        <w:t> </w:t>
      </w:r>
    </w:p>
    <w:p w14:paraId="3B215A68">
      <w:pPr>
        <w:pStyle w:val="1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A3F2575">
      <w:pPr>
        <w:pStyle w:val="12"/>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7158CE18">
      <w:pPr>
        <w:pStyle w:val="12"/>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C40D482">
      <w:pPr>
        <w:pStyle w:val="12"/>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0225B15">
      <w:pPr>
        <w:pStyle w:val="1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6636CD36">
      <w:pPr>
        <w:pStyle w:val="12"/>
        <w:spacing w:beforeAutospacing="0" w:afterAutospacing="0"/>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3CC8D874">
      <w:pPr>
        <w:pStyle w:val="12"/>
        <w:spacing w:beforeAutospacing="0" w:afterAutospacing="0"/>
        <w:jc w:val="both"/>
        <w:rPr>
          <w:highlight w:val="none"/>
        </w:rPr>
      </w:pPr>
      <w:r>
        <w:rPr>
          <w:highlight w:val="none"/>
        </w:rPr>
        <w:t> </w:t>
      </w:r>
    </w:p>
    <w:p w14:paraId="7F3368D2">
      <w:pPr>
        <w:pStyle w:val="12"/>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7448B83F">
      <w:pPr>
        <w:pStyle w:val="12"/>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67A6C76F">
      <w:pPr>
        <w:pStyle w:val="12"/>
        <w:spacing w:beforeAutospacing="0" w:afterAutospacing="0" w:line="0" w:lineRule="atLeast"/>
        <w:ind w:firstLine="3092" w:firstLineChars="700"/>
        <w:jc w:val="both"/>
        <w:rPr>
          <w:highlight w:val="none"/>
        </w:rPr>
      </w:pPr>
      <w:r>
        <w:rPr>
          <w:rFonts w:hint="eastAsia" w:ascii="宋体" w:hAnsi="宋体" w:eastAsia="宋体" w:cs="宋体"/>
          <w:b/>
          <w:color w:val="000000"/>
          <w:sz w:val="44"/>
          <w:szCs w:val="44"/>
          <w:highlight w:val="none"/>
        </w:rPr>
        <w:t xml:space="preserve"> 声  明</w:t>
      </w:r>
    </w:p>
    <w:p w14:paraId="45A26DB1">
      <w:pPr>
        <w:pStyle w:val="12"/>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174D61F">
      <w:pPr>
        <w:pStyle w:val="12"/>
        <w:spacing w:beforeAutospacing="0" w:afterAutospacing="0"/>
        <w:jc w:val="both"/>
        <w:rPr>
          <w:highlight w:val="none"/>
        </w:rPr>
      </w:pPr>
      <w:r>
        <w:rPr>
          <w:highlight w:val="none"/>
        </w:rPr>
        <w:t> </w:t>
      </w:r>
    </w:p>
    <w:p w14:paraId="373CB80C">
      <w:pPr>
        <w:pStyle w:val="12"/>
        <w:spacing w:beforeAutospacing="0" w:afterAutospacing="0"/>
        <w:jc w:val="both"/>
      </w:pPr>
      <w:r>
        <w:rPr>
          <w:rFonts w:hint="eastAsia" w:ascii="黑体" w:hAnsi="宋体" w:eastAsia="黑体" w:cs="黑体"/>
          <w:i/>
          <w:color w:val="000000"/>
          <w:sz w:val="32"/>
          <w:szCs w:val="32"/>
          <w:highlight w:val="none"/>
          <w:u w:val="single"/>
        </w:rPr>
        <w:t>六、特定资格要求的证明文件</w:t>
      </w:r>
      <w:r>
        <w:rPr>
          <w:rFonts w:hint="eastAsia"/>
          <w:sz w:val="32"/>
          <w:szCs w:val="32"/>
          <w:highlight w:val="none"/>
          <w:u w:val="single"/>
        </w:rPr>
        <w:t>（标注页码位置）</w:t>
      </w:r>
    </w:p>
    <w:p w14:paraId="5039FF10">
      <w:pPr>
        <w:pStyle w:val="12"/>
        <w:spacing w:beforeAutospacing="0" w:afterAutospacing="0"/>
        <w:jc w:val="both"/>
        <w:rPr>
          <w:highlight w:val="none"/>
        </w:rPr>
      </w:pPr>
    </w:p>
    <w:p w14:paraId="0241434E">
      <w:pPr>
        <w:pStyle w:val="12"/>
        <w:spacing w:beforeAutospacing="0" w:afterAutospacing="0" w:line="0" w:lineRule="atLeast"/>
        <w:jc w:val="both"/>
        <w:rPr>
          <w:highlight w:val="none"/>
        </w:rPr>
      </w:pPr>
      <w:r>
        <w:rPr>
          <w:rFonts w:hint="eastAsia"/>
        </w:rPr>
        <w:t xml:space="preserve"> 如果本项目申请人的特定资格要求中要求提供的，必须提供。</w:t>
      </w:r>
    </w:p>
    <w:p w14:paraId="41229E75">
      <w:pPr>
        <w:pStyle w:val="8"/>
        <w:ind w:left="1260"/>
        <w:rPr>
          <w:rFonts w:hint="eastAsia" w:hAnsi="宋体" w:cs="宋体"/>
        </w:rPr>
      </w:pPr>
      <w:bookmarkStart w:id="170" w:name="_Toc120614284"/>
    </w:p>
    <w:p w14:paraId="49179355">
      <w:pPr>
        <w:pStyle w:val="8"/>
        <w:ind w:left="1260"/>
        <w:rPr>
          <w:rFonts w:hint="eastAsia" w:hAnsi="宋体" w:cs="宋体"/>
        </w:rPr>
      </w:pPr>
    </w:p>
    <w:p w14:paraId="14DC0F84">
      <w:pPr>
        <w:pStyle w:val="8"/>
        <w:ind w:left="1260"/>
        <w:rPr>
          <w:rFonts w:hint="eastAsia" w:hAnsi="宋体" w:cs="宋体"/>
        </w:rPr>
      </w:pPr>
    </w:p>
    <w:p w14:paraId="69554813">
      <w:pPr>
        <w:pStyle w:val="8"/>
        <w:ind w:left="1260"/>
        <w:rPr>
          <w:rFonts w:hint="eastAsia" w:hAnsi="宋体" w:cs="宋体"/>
        </w:rPr>
      </w:pPr>
    </w:p>
    <w:p w14:paraId="4D2B6052">
      <w:pPr>
        <w:rPr>
          <w:rFonts w:hint="eastAsia" w:hAnsi="宋体" w:cs="宋体"/>
        </w:rPr>
      </w:pPr>
    </w:p>
    <w:p w14:paraId="10A73BA9">
      <w:pPr>
        <w:rPr>
          <w:rFonts w:hint="eastAsia" w:hAnsi="宋体" w:cs="宋体"/>
        </w:rPr>
      </w:pPr>
    </w:p>
    <w:p w14:paraId="0B587C07">
      <w:pPr>
        <w:rPr>
          <w:rFonts w:hint="eastAsia" w:hAnsi="宋体" w:cs="宋体"/>
        </w:rPr>
      </w:pPr>
    </w:p>
    <w:p w14:paraId="7F1B56C9">
      <w:pPr>
        <w:pStyle w:val="8"/>
        <w:ind w:left="1260"/>
        <w:rPr>
          <w:rFonts w:hint="eastAsia" w:hAnsi="宋体" w:cs="宋体"/>
        </w:rPr>
      </w:pPr>
    </w:p>
    <w:p w14:paraId="1A9A2600">
      <w:pPr>
        <w:pStyle w:val="8"/>
        <w:ind w:left="1260"/>
        <w:rPr>
          <w:rFonts w:hint="eastAsia" w:hAnsi="宋体" w:cs="宋体"/>
        </w:rPr>
      </w:pPr>
    </w:p>
    <w:p w14:paraId="05227A18">
      <w:pPr>
        <w:pStyle w:val="8"/>
        <w:ind w:left="1260"/>
        <w:rPr>
          <w:rFonts w:hAnsi="宋体" w:cs="宋体"/>
        </w:rPr>
      </w:pPr>
      <w:r>
        <w:rPr>
          <w:rFonts w:hint="eastAsia" w:hAnsi="宋体" w:cs="宋体"/>
        </w:rPr>
        <w:t>资格性审查响应对照表</w:t>
      </w:r>
    </w:p>
    <w:p w14:paraId="18B61709">
      <w:r>
        <w:rPr>
          <w:rFonts w:hint="eastAsia" w:hAnsi="宋体" w:cs="宋体"/>
        </w:rPr>
        <w:t>投标人全称（加盖投标人CA电子公章）</w:t>
      </w:r>
    </w:p>
    <w:tbl>
      <w:tblPr>
        <w:tblStyle w:val="1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640"/>
        <w:gridCol w:w="2655"/>
        <w:gridCol w:w="2850"/>
        <w:gridCol w:w="1043"/>
      </w:tblGrid>
      <w:tr w14:paraId="5A08B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73CECE7F">
            <w:pPr>
              <w:pStyle w:val="12"/>
              <w:spacing w:beforeAutospacing="0" w:afterAutospacing="0" w:line="0" w:lineRule="atLeast"/>
              <w:jc w:val="both"/>
            </w:pPr>
            <w:r>
              <w:rPr>
                <w:rFonts w:hint="eastAsia"/>
              </w:rPr>
              <w:t>序号</w:t>
            </w:r>
          </w:p>
        </w:tc>
        <w:tc>
          <w:tcPr>
            <w:tcW w:w="2640" w:type="dxa"/>
          </w:tcPr>
          <w:p w14:paraId="52FC59A1">
            <w:pPr>
              <w:pStyle w:val="12"/>
              <w:spacing w:beforeAutospacing="0" w:afterAutospacing="0" w:line="0" w:lineRule="atLeast"/>
              <w:jc w:val="both"/>
            </w:pPr>
            <w:r>
              <w:rPr>
                <w:rFonts w:hint="eastAsia"/>
              </w:rPr>
              <w:t>资格性审查响应内容</w:t>
            </w:r>
          </w:p>
        </w:tc>
        <w:tc>
          <w:tcPr>
            <w:tcW w:w="2655" w:type="dxa"/>
          </w:tcPr>
          <w:p w14:paraId="24FA6D56">
            <w:pPr>
              <w:pStyle w:val="12"/>
              <w:spacing w:beforeAutospacing="0" w:afterAutospacing="0" w:line="0" w:lineRule="atLeast"/>
              <w:jc w:val="both"/>
            </w:pPr>
            <w:r>
              <w:rPr>
                <w:rFonts w:hint="eastAsia"/>
              </w:rPr>
              <w:t>是否响应（填是或否）</w:t>
            </w:r>
          </w:p>
        </w:tc>
        <w:tc>
          <w:tcPr>
            <w:tcW w:w="2850" w:type="dxa"/>
          </w:tcPr>
          <w:p w14:paraId="717F5A07">
            <w:pPr>
              <w:pStyle w:val="12"/>
              <w:spacing w:beforeAutospacing="0" w:afterAutospacing="0" w:line="0" w:lineRule="atLeast"/>
              <w:jc w:val="both"/>
            </w:pPr>
            <w:r>
              <w:rPr>
                <w:rFonts w:hint="eastAsia"/>
                <w:b/>
                <w:bCs/>
              </w:rPr>
              <w:t>投标文件中的页码位置</w:t>
            </w:r>
          </w:p>
        </w:tc>
        <w:tc>
          <w:tcPr>
            <w:tcW w:w="1043" w:type="dxa"/>
          </w:tcPr>
          <w:p w14:paraId="01AD17F4">
            <w:pPr>
              <w:pStyle w:val="12"/>
              <w:spacing w:beforeAutospacing="0" w:afterAutospacing="0" w:line="0" w:lineRule="atLeast"/>
              <w:jc w:val="both"/>
            </w:pPr>
            <w:r>
              <w:rPr>
                <w:rFonts w:hint="eastAsia"/>
              </w:rPr>
              <w:t>备注</w:t>
            </w:r>
          </w:p>
        </w:tc>
      </w:tr>
      <w:tr w14:paraId="3085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40B6B846">
            <w:pPr>
              <w:pStyle w:val="12"/>
              <w:spacing w:beforeAutospacing="0" w:afterAutospacing="0" w:line="0" w:lineRule="atLeast"/>
              <w:jc w:val="both"/>
            </w:pPr>
          </w:p>
        </w:tc>
        <w:tc>
          <w:tcPr>
            <w:tcW w:w="2640" w:type="dxa"/>
          </w:tcPr>
          <w:p w14:paraId="4574A08D">
            <w:pPr>
              <w:pStyle w:val="12"/>
              <w:spacing w:beforeAutospacing="0" w:afterAutospacing="0" w:line="0" w:lineRule="atLeast"/>
              <w:jc w:val="both"/>
            </w:pPr>
          </w:p>
        </w:tc>
        <w:tc>
          <w:tcPr>
            <w:tcW w:w="2655" w:type="dxa"/>
          </w:tcPr>
          <w:p w14:paraId="00BC9C49">
            <w:pPr>
              <w:pStyle w:val="12"/>
              <w:spacing w:beforeAutospacing="0" w:afterAutospacing="0" w:line="0" w:lineRule="atLeast"/>
              <w:jc w:val="both"/>
            </w:pPr>
          </w:p>
        </w:tc>
        <w:tc>
          <w:tcPr>
            <w:tcW w:w="2850" w:type="dxa"/>
          </w:tcPr>
          <w:p w14:paraId="70330D3F">
            <w:pPr>
              <w:pStyle w:val="12"/>
              <w:spacing w:beforeAutospacing="0" w:afterAutospacing="0" w:line="0" w:lineRule="atLeast"/>
              <w:jc w:val="both"/>
            </w:pPr>
          </w:p>
        </w:tc>
        <w:tc>
          <w:tcPr>
            <w:tcW w:w="1043" w:type="dxa"/>
          </w:tcPr>
          <w:p w14:paraId="194D2502">
            <w:pPr>
              <w:pStyle w:val="12"/>
              <w:spacing w:beforeAutospacing="0" w:afterAutospacing="0" w:line="0" w:lineRule="atLeast"/>
              <w:jc w:val="both"/>
            </w:pPr>
          </w:p>
        </w:tc>
      </w:tr>
      <w:tr w14:paraId="1D05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3510F3D2">
            <w:pPr>
              <w:pStyle w:val="12"/>
              <w:spacing w:beforeAutospacing="0" w:afterAutospacing="0" w:line="0" w:lineRule="atLeast"/>
              <w:jc w:val="both"/>
            </w:pPr>
          </w:p>
        </w:tc>
        <w:tc>
          <w:tcPr>
            <w:tcW w:w="2640" w:type="dxa"/>
          </w:tcPr>
          <w:p w14:paraId="55609A87">
            <w:pPr>
              <w:pStyle w:val="12"/>
              <w:spacing w:beforeAutospacing="0" w:afterAutospacing="0" w:line="0" w:lineRule="atLeast"/>
              <w:jc w:val="both"/>
            </w:pPr>
          </w:p>
        </w:tc>
        <w:tc>
          <w:tcPr>
            <w:tcW w:w="2655" w:type="dxa"/>
          </w:tcPr>
          <w:p w14:paraId="43D3CAAD">
            <w:pPr>
              <w:pStyle w:val="12"/>
              <w:spacing w:beforeAutospacing="0" w:afterAutospacing="0" w:line="0" w:lineRule="atLeast"/>
              <w:jc w:val="both"/>
            </w:pPr>
          </w:p>
        </w:tc>
        <w:tc>
          <w:tcPr>
            <w:tcW w:w="2850" w:type="dxa"/>
          </w:tcPr>
          <w:p w14:paraId="762EC9FA">
            <w:pPr>
              <w:pStyle w:val="12"/>
              <w:spacing w:beforeAutospacing="0" w:afterAutospacing="0" w:line="0" w:lineRule="atLeast"/>
              <w:jc w:val="both"/>
            </w:pPr>
          </w:p>
        </w:tc>
        <w:tc>
          <w:tcPr>
            <w:tcW w:w="1043" w:type="dxa"/>
          </w:tcPr>
          <w:p w14:paraId="160DF0C2">
            <w:pPr>
              <w:pStyle w:val="12"/>
              <w:spacing w:beforeAutospacing="0" w:afterAutospacing="0" w:line="0" w:lineRule="atLeast"/>
              <w:jc w:val="both"/>
            </w:pPr>
          </w:p>
        </w:tc>
      </w:tr>
      <w:tr w14:paraId="4BAAF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3C12E2BF">
            <w:pPr>
              <w:pStyle w:val="12"/>
              <w:spacing w:beforeAutospacing="0" w:afterAutospacing="0" w:line="0" w:lineRule="atLeast"/>
              <w:jc w:val="both"/>
            </w:pPr>
          </w:p>
        </w:tc>
        <w:tc>
          <w:tcPr>
            <w:tcW w:w="2640" w:type="dxa"/>
          </w:tcPr>
          <w:p w14:paraId="5B3E458C">
            <w:pPr>
              <w:pStyle w:val="12"/>
              <w:spacing w:beforeAutospacing="0" w:afterAutospacing="0" w:line="0" w:lineRule="atLeast"/>
              <w:jc w:val="both"/>
            </w:pPr>
          </w:p>
        </w:tc>
        <w:tc>
          <w:tcPr>
            <w:tcW w:w="2655" w:type="dxa"/>
          </w:tcPr>
          <w:p w14:paraId="1AF100D4">
            <w:pPr>
              <w:pStyle w:val="12"/>
              <w:spacing w:beforeAutospacing="0" w:afterAutospacing="0" w:line="0" w:lineRule="atLeast"/>
              <w:jc w:val="both"/>
            </w:pPr>
          </w:p>
        </w:tc>
        <w:tc>
          <w:tcPr>
            <w:tcW w:w="2850" w:type="dxa"/>
          </w:tcPr>
          <w:p w14:paraId="496725F2">
            <w:pPr>
              <w:pStyle w:val="12"/>
              <w:spacing w:beforeAutospacing="0" w:afterAutospacing="0" w:line="0" w:lineRule="atLeast"/>
              <w:jc w:val="both"/>
            </w:pPr>
          </w:p>
        </w:tc>
        <w:tc>
          <w:tcPr>
            <w:tcW w:w="1043" w:type="dxa"/>
          </w:tcPr>
          <w:p w14:paraId="6C547D77">
            <w:pPr>
              <w:pStyle w:val="12"/>
              <w:spacing w:beforeAutospacing="0" w:afterAutospacing="0" w:line="0" w:lineRule="atLeast"/>
              <w:jc w:val="both"/>
            </w:pPr>
          </w:p>
        </w:tc>
      </w:tr>
      <w:tr w14:paraId="6DAC6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612547FD">
            <w:pPr>
              <w:pStyle w:val="12"/>
              <w:spacing w:beforeAutospacing="0" w:afterAutospacing="0" w:line="0" w:lineRule="atLeast"/>
              <w:jc w:val="both"/>
            </w:pPr>
          </w:p>
        </w:tc>
        <w:tc>
          <w:tcPr>
            <w:tcW w:w="2640" w:type="dxa"/>
          </w:tcPr>
          <w:p w14:paraId="0769DB32">
            <w:pPr>
              <w:pStyle w:val="12"/>
              <w:spacing w:beforeAutospacing="0" w:afterAutospacing="0" w:line="0" w:lineRule="atLeast"/>
              <w:jc w:val="both"/>
            </w:pPr>
          </w:p>
        </w:tc>
        <w:tc>
          <w:tcPr>
            <w:tcW w:w="2655" w:type="dxa"/>
          </w:tcPr>
          <w:p w14:paraId="115B4E20">
            <w:pPr>
              <w:pStyle w:val="12"/>
              <w:spacing w:beforeAutospacing="0" w:afterAutospacing="0" w:line="0" w:lineRule="atLeast"/>
              <w:jc w:val="both"/>
            </w:pPr>
          </w:p>
        </w:tc>
        <w:tc>
          <w:tcPr>
            <w:tcW w:w="2850" w:type="dxa"/>
          </w:tcPr>
          <w:p w14:paraId="622A7F5D">
            <w:pPr>
              <w:pStyle w:val="12"/>
              <w:spacing w:beforeAutospacing="0" w:afterAutospacing="0" w:line="0" w:lineRule="atLeast"/>
              <w:jc w:val="both"/>
            </w:pPr>
          </w:p>
        </w:tc>
        <w:tc>
          <w:tcPr>
            <w:tcW w:w="1043" w:type="dxa"/>
          </w:tcPr>
          <w:p w14:paraId="2ED2E495">
            <w:pPr>
              <w:pStyle w:val="12"/>
              <w:spacing w:beforeAutospacing="0" w:afterAutospacing="0" w:line="0" w:lineRule="atLeast"/>
              <w:jc w:val="both"/>
            </w:pPr>
          </w:p>
        </w:tc>
      </w:tr>
      <w:tr w14:paraId="594D6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0C6A4F87">
            <w:pPr>
              <w:pStyle w:val="12"/>
              <w:spacing w:beforeAutospacing="0" w:afterAutospacing="0" w:line="0" w:lineRule="atLeast"/>
              <w:jc w:val="both"/>
            </w:pPr>
          </w:p>
        </w:tc>
        <w:tc>
          <w:tcPr>
            <w:tcW w:w="2640" w:type="dxa"/>
          </w:tcPr>
          <w:p w14:paraId="499A4421">
            <w:pPr>
              <w:pStyle w:val="12"/>
              <w:spacing w:beforeAutospacing="0" w:afterAutospacing="0" w:line="0" w:lineRule="atLeast"/>
              <w:jc w:val="both"/>
            </w:pPr>
          </w:p>
        </w:tc>
        <w:tc>
          <w:tcPr>
            <w:tcW w:w="2655" w:type="dxa"/>
          </w:tcPr>
          <w:p w14:paraId="0980C0B7">
            <w:pPr>
              <w:pStyle w:val="12"/>
              <w:spacing w:beforeAutospacing="0" w:afterAutospacing="0" w:line="0" w:lineRule="atLeast"/>
              <w:jc w:val="both"/>
            </w:pPr>
          </w:p>
        </w:tc>
        <w:tc>
          <w:tcPr>
            <w:tcW w:w="2850" w:type="dxa"/>
          </w:tcPr>
          <w:p w14:paraId="38C53D00">
            <w:pPr>
              <w:pStyle w:val="12"/>
              <w:spacing w:beforeAutospacing="0" w:afterAutospacing="0" w:line="0" w:lineRule="atLeast"/>
              <w:jc w:val="both"/>
            </w:pPr>
          </w:p>
        </w:tc>
        <w:tc>
          <w:tcPr>
            <w:tcW w:w="1043" w:type="dxa"/>
          </w:tcPr>
          <w:p w14:paraId="695A8ECB">
            <w:pPr>
              <w:pStyle w:val="12"/>
              <w:spacing w:beforeAutospacing="0" w:afterAutospacing="0" w:line="0" w:lineRule="atLeast"/>
              <w:jc w:val="both"/>
            </w:pPr>
          </w:p>
        </w:tc>
      </w:tr>
    </w:tbl>
    <w:p w14:paraId="122322EF">
      <w:pPr>
        <w:pStyle w:val="12"/>
        <w:spacing w:beforeAutospacing="0" w:afterAutospacing="0"/>
        <w:jc w:val="center"/>
        <w:rPr>
          <w:rFonts w:hint="eastAsia" w:ascii="黑体" w:hAnsi="宋体" w:eastAsia="黑体" w:cs="黑体"/>
          <w:i/>
          <w:color w:val="000000"/>
          <w:sz w:val="32"/>
          <w:szCs w:val="32"/>
          <w:highlight w:val="none"/>
          <w:u w:val="single"/>
        </w:rPr>
      </w:pPr>
    </w:p>
    <w:p w14:paraId="1CEC30E9">
      <w:pPr>
        <w:pStyle w:val="12"/>
        <w:spacing w:beforeAutospacing="0" w:afterAutospacing="0"/>
        <w:jc w:val="left"/>
        <w:rPr>
          <w:highlight w:val="none"/>
        </w:rPr>
      </w:pPr>
      <w:r>
        <w:rPr>
          <w:rFonts w:hint="eastAsia" w:ascii="黑体" w:hAnsi="宋体" w:eastAsia="黑体" w:cs="黑体"/>
          <w:i/>
          <w:color w:val="000000"/>
          <w:sz w:val="32"/>
          <w:szCs w:val="32"/>
          <w:highlight w:val="none"/>
          <w:u w:val="single"/>
        </w:rPr>
        <w:t>七、法人授权书</w:t>
      </w:r>
    </w:p>
    <w:p w14:paraId="54D35F1F">
      <w:pPr>
        <w:pStyle w:val="12"/>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09221004">
      <w:pPr>
        <w:pStyle w:val="12"/>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684AF516">
      <w:pPr>
        <w:pStyle w:val="12"/>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15C3BC56">
      <w:pPr>
        <w:pStyle w:val="12"/>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5EAA9380">
      <w:pPr>
        <w:pStyle w:val="12"/>
        <w:tabs>
          <w:tab w:val="left" w:pos="360"/>
        </w:tabs>
        <w:spacing w:beforeAutospacing="0" w:afterAutospacing="0"/>
        <w:ind w:firstLine="12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08F15E9">
      <w:pPr>
        <w:pStyle w:val="12"/>
        <w:tabs>
          <w:tab w:val="left" w:pos="360"/>
        </w:tabs>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1ABE4D75">
      <w:pPr>
        <w:pStyle w:val="12"/>
        <w:tabs>
          <w:tab w:val="left" w:pos="360"/>
        </w:tabs>
        <w:spacing w:beforeAutospacing="0" w:afterAutospacing="0"/>
        <w:ind w:firstLine="480"/>
        <w:jc w:val="both"/>
        <w:rPr>
          <w:highlight w:val="none"/>
        </w:rPr>
      </w:pPr>
      <w:r>
        <w:rPr>
          <w:rFonts w:ascii="Times New Roman" w:hAnsi="Times New Roman"/>
          <w:color w:val="000000"/>
          <w:highlight w:val="none"/>
        </w:rPr>
        <w:t>      日期：</w:t>
      </w:r>
      <w:bookmarkStart w:id="171" w:name="_Hlt26671380"/>
      <w:bookmarkStart w:id="172" w:name="_格式3__银行出具的资信证明"/>
      <w:bookmarkStart w:id="173" w:name="_Hlt26955070"/>
      <w:r>
        <w:rPr>
          <w:rFonts w:ascii="Times New Roman" w:hAnsi="Times New Roman"/>
          <w:color w:val="000000"/>
          <w:highlight w:val="none"/>
          <w:u w:val="single"/>
        </w:rPr>
        <w:t xml:space="preserve">                                         </w:t>
      </w:r>
    </w:p>
    <w:p w14:paraId="22BC2E0E">
      <w:pPr>
        <w:pStyle w:val="12"/>
        <w:spacing w:beforeAutospacing="0" w:afterAutospacing="0"/>
        <w:ind w:firstLine="420"/>
        <w:jc w:val="both"/>
        <w:rPr>
          <w:highlight w:val="none"/>
        </w:rPr>
      </w:pPr>
      <w:r>
        <w:rPr>
          <w:highlight w:val="none"/>
        </w:rPr>
        <w:t> </w:t>
      </w:r>
    </w:p>
    <w:p w14:paraId="12042EB6">
      <w:pPr>
        <w:pStyle w:val="12"/>
        <w:spacing w:beforeAutospacing="0" w:afterAutospacing="0"/>
        <w:jc w:val="both"/>
        <w:rPr>
          <w:highlight w:val="none"/>
        </w:rPr>
      </w:pPr>
      <w:r>
        <w:rPr>
          <w:highlight w:val="none"/>
        </w:rPr>
        <w:t> </w:t>
      </w:r>
    </w:p>
    <w:p w14:paraId="42465921">
      <w:pPr>
        <w:pStyle w:val="12"/>
        <w:keepNext/>
        <w:keepLines/>
        <w:spacing w:before="260" w:beforeAutospacing="0" w:after="260" w:afterAutospacing="0" w:line="415" w:lineRule="auto"/>
        <w:ind w:firstLine="3390"/>
        <w:jc w:val="both"/>
        <w:rPr>
          <w:highlight w:val="none"/>
        </w:rPr>
      </w:pPr>
      <w:r>
        <w:rPr>
          <w:rFonts w:hint="eastAsia" w:ascii="宋体" w:hAnsi="宋体" w:eastAsia="宋体" w:cs="宋体"/>
          <w:b/>
          <w:color w:val="000000"/>
          <w:highlight w:val="none"/>
        </w:rPr>
        <w:br w:type="page"/>
      </w:r>
      <w:r>
        <w:rPr>
          <w:rFonts w:hint="eastAsia" w:ascii="宋体" w:hAnsi="宋体" w:eastAsia="宋体" w:cs="宋体"/>
          <w:b/>
          <w:color w:val="000000"/>
          <w:highlight w:val="none"/>
        </w:rPr>
        <w:t> </w:t>
      </w:r>
      <w:r>
        <w:rPr>
          <w:rFonts w:hint="eastAsia" w:ascii="黑体" w:hAnsi="宋体" w:eastAsia="黑体" w:cs="黑体"/>
          <w:b/>
          <w:i/>
          <w:color w:val="000000"/>
          <w:sz w:val="32"/>
          <w:szCs w:val="32"/>
          <w:highlight w:val="none"/>
          <w:u w:val="single"/>
        </w:rPr>
        <w:t>八、投标函</w:t>
      </w:r>
    </w:p>
    <w:p w14:paraId="11974A0B">
      <w:pPr>
        <w:pStyle w:val="12"/>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致：</w:t>
      </w:r>
      <w:r>
        <w:rPr>
          <w:rFonts w:hint="eastAsia" w:ascii="宋体" w:hAnsi="宋体" w:eastAsia="宋体" w:cs="宋体"/>
          <w:u w:val="single"/>
        </w:rPr>
        <w:t>盐城市大丰中医院（盐城市大丰区老年医院）</w:t>
      </w:r>
    </w:p>
    <w:p w14:paraId="69216D8B">
      <w:pPr>
        <w:pStyle w:val="12"/>
        <w:spacing w:beforeAutospacing="0" w:afterAutospacing="0" w:line="0" w:lineRule="atLeast"/>
        <w:rPr>
          <w:rFonts w:hint="eastAsia" w:ascii="宋体" w:hAnsi="宋体" w:eastAsia="宋体" w:cs="宋体"/>
        </w:rPr>
      </w:pPr>
      <w:r>
        <w:rPr>
          <w:rFonts w:hint="eastAsia" w:ascii="宋体" w:hAnsi="宋体" w:eastAsia="宋体" w:cs="宋体"/>
        </w:rPr>
        <w:t>根据贵方的</w:t>
      </w:r>
      <w:r>
        <w:rPr>
          <w:rFonts w:hint="eastAsia" w:ascii="宋体" w:hAnsi="宋体" w:eastAsia="宋体" w:cs="宋体"/>
          <w:u w:val="single"/>
        </w:rPr>
        <w:t xml:space="preserve">                         </w:t>
      </w:r>
      <w:r>
        <w:rPr>
          <w:rFonts w:hint="eastAsia" w:ascii="宋体" w:hAnsi="宋体" w:eastAsia="宋体" w:cs="宋体"/>
        </w:rPr>
        <w:t>号招标文件，正式授权___</w:t>
      </w:r>
      <w:r>
        <w:rPr>
          <w:rFonts w:hint="eastAsia" w:ascii="宋体" w:hAnsi="宋体" w:eastAsia="宋体" w:cs="宋体"/>
          <w:u w:val="single"/>
          <w:lang w:val="en-US" w:eastAsia="zh-CN"/>
        </w:rPr>
        <w:t xml:space="preserve">   </w:t>
      </w:r>
      <w:r>
        <w:rPr>
          <w:rFonts w:hint="eastAsia" w:ascii="宋体" w:hAnsi="宋体" w:eastAsia="宋体" w:cs="宋体"/>
        </w:rPr>
        <w:t>___(姓名)代表我方______________（投标人的名称），全权处理本次项目投标的有关事宜。</w:t>
      </w:r>
    </w:p>
    <w:p w14:paraId="63143E90">
      <w:pPr>
        <w:pStyle w:val="12"/>
        <w:spacing w:beforeAutospacing="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据此函，签字人兹宣布同意如下：</w:t>
      </w:r>
    </w:p>
    <w:p w14:paraId="208D0767">
      <w:pPr>
        <w:pStyle w:val="12"/>
        <w:spacing w:beforeAutospacing="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1.按招标文件规定的各项要求，向买方提供所需货物（包含与货物相关的服务）。</w:t>
      </w:r>
    </w:p>
    <w:p w14:paraId="6AE3C05B">
      <w:pPr>
        <w:pStyle w:val="12"/>
        <w:spacing w:beforeAutospacing="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2.我们完全理解贵方不一定将合同授予最低报价的投标人。</w:t>
      </w:r>
    </w:p>
    <w:p w14:paraId="674E47C7">
      <w:pPr>
        <w:pStyle w:val="12"/>
        <w:spacing w:beforeAutospacing="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283A4DCD">
      <w:pPr>
        <w:pStyle w:val="12"/>
        <w:spacing w:beforeAutospacing="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6D012F91">
      <w:pPr>
        <w:pStyle w:val="12"/>
        <w:spacing w:beforeAutospacing="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E55D021">
      <w:pPr>
        <w:pStyle w:val="12"/>
        <w:spacing w:beforeAutospacing="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70E91395">
      <w:pPr>
        <w:pStyle w:val="12"/>
        <w:spacing w:beforeAutospacing="0" w:afterAutospacing="0" w:line="0" w:lineRule="atLeast"/>
        <w:ind w:left="425"/>
        <w:rPr>
          <w:rFonts w:hint="eastAsia" w:ascii="宋体" w:hAnsi="宋体" w:eastAsia="宋体" w:cs="宋体"/>
          <w:highlight w:val="none"/>
        </w:rPr>
      </w:pPr>
      <w:r>
        <w:rPr>
          <w:rFonts w:hint="eastAsia" w:ascii="宋体" w:hAnsi="宋体" w:eastAsia="宋体" w:cs="宋体"/>
          <w:color w:val="000000"/>
          <w:highlight w:val="none"/>
        </w:rPr>
        <w:t>7.与本投标有关的正式通讯地址为：</w:t>
      </w:r>
    </w:p>
    <w:p w14:paraId="3EF35FFD">
      <w:pPr>
        <w:pStyle w:val="12"/>
        <w:spacing w:beforeAutospacing="0" w:afterAutospacing="0" w:line="0" w:lineRule="atLeast"/>
        <w:ind w:left="420" w:firstLine="480"/>
        <w:rPr>
          <w:rFonts w:hint="eastAsia" w:ascii="宋体" w:hAnsi="宋体" w:eastAsia="宋体" w:cs="宋体"/>
          <w:highlight w:val="none"/>
        </w:rPr>
      </w:pPr>
      <w:r>
        <w:rPr>
          <w:rFonts w:hint="eastAsia" w:ascii="宋体" w:hAnsi="宋体" w:eastAsia="宋体" w:cs="宋体"/>
          <w:color w:val="000000"/>
          <w:highlight w:val="none"/>
        </w:rPr>
        <w:t>地          址：</w:t>
      </w:r>
    </w:p>
    <w:p w14:paraId="0ABCF285">
      <w:pPr>
        <w:pStyle w:val="12"/>
        <w:spacing w:beforeAutospacing="0" w:afterAutospacing="0" w:line="0" w:lineRule="atLeast"/>
        <w:ind w:left="420" w:firstLine="480"/>
        <w:rPr>
          <w:rFonts w:hint="eastAsia" w:ascii="宋体" w:hAnsi="宋体" w:eastAsia="宋体" w:cs="宋体"/>
          <w:highlight w:val="none"/>
        </w:rPr>
      </w:pPr>
      <w:r>
        <w:rPr>
          <w:rFonts w:hint="eastAsia" w:ascii="宋体" w:hAnsi="宋体" w:eastAsia="宋体" w:cs="宋体"/>
          <w:color w:val="000000"/>
          <w:highlight w:val="none"/>
        </w:rPr>
        <w:t>邮          编：</w:t>
      </w:r>
    </w:p>
    <w:p w14:paraId="321F11A4">
      <w:pPr>
        <w:pStyle w:val="12"/>
        <w:spacing w:beforeAutospacing="0" w:afterAutospacing="0" w:line="0" w:lineRule="atLeast"/>
        <w:ind w:left="420" w:firstLine="480"/>
        <w:rPr>
          <w:rFonts w:hint="eastAsia" w:ascii="宋体" w:hAnsi="宋体" w:eastAsia="宋体" w:cs="宋体"/>
          <w:highlight w:val="none"/>
        </w:rPr>
      </w:pPr>
      <w:r>
        <w:rPr>
          <w:rFonts w:hint="eastAsia" w:ascii="宋体" w:hAnsi="宋体" w:eastAsia="宋体" w:cs="宋体"/>
          <w:color w:val="000000"/>
          <w:highlight w:val="none"/>
        </w:rPr>
        <w:t>电          话：</w:t>
      </w:r>
    </w:p>
    <w:p w14:paraId="11BBD12B">
      <w:pPr>
        <w:pStyle w:val="12"/>
        <w:spacing w:beforeAutospacing="0" w:afterAutospacing="0" w:line="0" w:lineRule="atLeast"/>
        <w:ind w:left="420" w:firstLine="480"/>
        <w:rPr>
          <w:rFonts w:hint="eastAsia" w:ascii="宋体" w:hAnsi="宋体" w:eastAsia="宋体" w:cs="宋体"/>
          <w:highlight w:val="none"/>
        </w:rPr>
      </w:pPr>
      <w:r>
        <w:rPr>
          <w:rFonts w:hint="eastAsia" w:ascii="宋体" w:hAnsi="宋体" w:eastAsia="宋体" w:cs="宋体"/>
          <w:color w:val="000000"/>
          <w:highlight w:val="none"/>
        </w:rPr>
        <w:t>传          真：</w:t>
      </w:r>
    </w:p>
    <w:p w14:paraId="7530FB6D">
      <w:pPr>
        <w:pStyle w:val="12"/>
        <w:spacing w:beforeAutospacing="0" w:afterAutospacing="0" w:line="0" w:lineRule="atLeast"/>
        <w:ind w:left="420" w:firstLine="480"/>
        <w:rPr>
          <w:rFonts w:hint="eastAsia" w:ascii="宋体" w:hAnsi="宋体" w:eastAsia="宋体" w:cs="宋体"/>
          <w:highlight w:val="none"/>
        </w:rPr>
      </w:pPr>
      <w:r>
        <w:rPr>
          <w:rFonts w:hint="eastAsia" w:ascii="宋体" w:hAnsi="宋体" w:eastAsia="宋体" w:cs="宋体"/>
          <w:color w:val="000000"/>
          <w:highlight w:val="none"/>
        </w:rPr>
        <w:t>投标人开户行：</w:t>
      </w:r>
    </w:p>
    <w:p w14:paraId="7C1FA2D5">
      <w:pPr>
        <w:pStyle w:val="12"/>
        <w:spacing w:beforeAutospacing="0" w:afterAutospacing="0" w:line="0" w:lineRule="atLeast"/>
        <w:ind w:left="420"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账          号： </w:t>
      </w:r>
    </w:p>
    <w:p w14:paraId="359939A7">
      <w:pPr>
        <w:pStyle w:val="12"/>
        <w:spacing w:beforeAutospacing="0" w:afterAutospacing="0" w:line="0" w:lineRule="atLeast"/>
        <w:ind w:left="420" w:firstLine="480"/>
        <w:rPr>
          <w:rFonts w:hint="eastAsia" w:ascii="宋体" w:hAnsi="宋体" w:eastAsia="宋体" w:cs="宋体"/>
          <w:color w:val="000000"/>
          <w:highlight w:val="none"/>
        </w:rPr>
      </w:pPr>
      <w:r>
        <w:rPr>
          <w:rFonts w:hint="eastAsia" w:ascii="宋体" w:hAnsi="宋体" w:eastAsia="宋体" w:cs="宋体"/>
          <w:color w:val="000000"/>
          <w:highlight w:val="none"/>
        </w:rPr>
        <w:t>日           期：________年____月____日</w:t>
      </w:r>
    </w:p>
    <w:p w14:paraId="16AAF5A3">
      <w:pPr>
        <w:pStyle w:val="12"/>
        <w:spacing w:beforeAutospacing="0" w:afterAutospacing="0" w:line="0" w:lineRule="atLeast"/>
        <w:ind w:left="420" w:firstLine="480"/>
        <w:jc w:val="center"/>
        <w:rPr>
          <w:rFonts w:hint="eastAsia" w:ascii="宋体" w:hAnsi="宋体" w:cs="宋体"/>
          <w:color w:val="auto"/>
          <w:lang w:val="en-US" w:eastAsia="zh-CN"/>
        </w:rPr>
      </w:pPr>
    </w:p>
    <w:p w14:paraId="55A82E0A">
      <w:pPr>
        <w:pStyle w:val="12"/>
        <w:spacing w:beforeAutospacing="0" w:afterAutospacing="0" w:line="0" w:lineRule="atLeast"/>
        <w:ind w:left="420" w:firstLine="480"/>
        <w:jc w:val="center"/>
        <w:rPr>
          <w:rFonts w:hint="eastAsia" w:ascii="宋体" w:hAnsi="宋体" w:cs="宋体"/>
          <w:color w:val="auto"/>
          <w:lang w:val="en-US" w:eastAsia="zh-CN"/>
        </w:rPr>
      </w:pPr>
    </w:p>
    <w:p w14:paraId="164FCE86">
      <w:pPr>
        <w:pStyle w:val="12"/>
        <w:spacing w:beforeAutospacing="0" w:afterAutospacing="0" w:line="0" w:lineRule="atLeast"/>
        <w:ind w:left="420" w:firstLine="480"/>
        <w:jc w:val="center"/>
        <w:rPr>
          <w:rFonts w:hint="eastAsia" w:ascii="宋体" w:hAnsi="宋体" w:cs="宋体"/>
          <w:color w:val="auto"/>
          <w:lang w:val="en-US" w:eastAsia="zh-CN"/>
        </w:rPr>
      </w:pPr>
    </w:p>
    <w:p w14:paraId="75F4F386">
      <w:pPr>
        <w:pStyle w:val="12"/>
        <w:spacing w:beforeAutospacing="0" w:afterAutospacing="0" w:line="0" w:lineRule="atLeast"/>
        <w:ind w:left="420" w:firstLine="480"/>
        <w:jc w:val="center"/>
        <w:rPr>
          <w:rFonts w:hint="eastAsia" w:ascii="宋体" w:hAnsi="宋体" w:cs="宋体"/>
          <w:color w:val="auto"/>
          <w:lang w:val="en-US" w:eastAsia="zh-CN"/>
        </w:rPr>
      </w:pPr>
    </w:p>
    <w:p w14:paraId="20CB2739">
      <w:pPr>
        <w:pStyle w:val="12"/>
        <w:spacing w:beforeAutospacing="0" w:afterAutospacing="0" w:line="0" w:lineRule="atLeast"/>
        <w:ind w:left="420" w:firstLine="480"/>
        <w:jc w:val="center"/>
        <w:rPr>
          <w:rFonts w:hint="default" w:ascii="宋体" w:hAnsi="宋体" w:cs="宋体" w:eastAsiaTheme="minorEastAsia"/>
          <w:color w:val="auto"/>
          <w:lang w:val="en-US" w:eastAsia="zh-CN"/>
        </w:rPr>
      </w:pPr>
      <w:r>
        <w:rPr>
          <w:rFonts w:hint="eastAsia" w:ascii="宋体" w:hAnsi="宋体" w:cs="宋体"/>
          <w:color w:val="auto"/>
          <w:lang w:val="en-US" w:eastAsia="zh-CN"/>
        </w:rPr>
        <w:t>签字人签名或盖章：</w:t>
      </w:r>
    </w:p>
    <w:p w14:paraId="5551F912">
      <w:pPr>
        <w:pStyle w:val="12"/>
        <w:spacing w:beforeAutospacing="0" w:afterAutospacing="0" w:line="0" w:lineRule="atLeast"/>
        <w:ind w:firstLine="240"/>
        <w:jc w:val="center"/>
        <w:rPr>
          <w:color w:val="auto"/>
        </w:rPr>
      </w:pPr>
      <w:r>
        <w:rPr>
          <w:color w:val="auto"/>
        </w:rPr>
        <w:t> </w:t>
      </w:r>
    </w:p>
    <w:p w14:paraId="55559C12">
      <w:pPr>
        <w:pStyle w:val="12"/>
        <w:spacing w:beforeAutospacing="0" w:afterAutospacing="0" w:line="0" w:lineRule="atLeast"/>
        <w:ind w:firstLine="240"/>
        <w:jc w:val="center"/>
        <w:rPr>
          <w:color w:val="auto"/>
        </w:rPr>
      </w:pPr>
      <w:r>
        <w:rPr>
          <w:rFonts w:hint="eastAsia" w:ascii="宋体" w:hAnsi="宋体" w:cs="宋体"/>
          <w:color w:val="auto"/>
          <w:lang w:val="en-US" w:eastAsia="zh-CN"/>
        </w:rPr>
        <w:t xml:space="preserve">                </w:t>
      </w:r>
      <w:r>
        <w:rPr>
          <w:rFonts w:hint="eastAsia" w:ascii="宋体" w:hAnsi="宋体" w:cs="宋体"/>
          <w:color w:val="auto"/>
        </w:rPr>
        <w:t>供应商全称（加盖CA电子公章）：</w:t>
      </w:r>
      <w:r>
        <w:rPr>
          <w:color w:val="auto"/>
        </w:rPr>
        <w:t> </w:t>
      </w:r>
    </w:p>
    <w:p w14:paraId="605850D9">
      <w:pPr>
        <w:pStyle w:val="12"/>
        <w:spacing w:beforeAutospacing="0" w:afterAutospacing="0" w:line="0" w:lineRule="atLeast"/>
        <w:ind w:left="420" w:firstLine="480"/>
        <w:rPr>
          <w:rFonts w:hint="eastAsia" w:ascii="宋体" w:hAnsi="宋体" w:eastAsia="宋体" w:cs="宋体"/>
          <w:color w:val="000000"/>
          <w:highlight w:val="none"/>
        </w:rPr>
      </w:pPr>
    </w:p>
    <w:p w14:paraId="242118EF">
      <w:pPr>
        <w:pStyle w:val="12"/>
        <w:spacing w:beforeAutospacing="0" w:afterAutospacing="0" w:line="0" w:lineRule="atLeast"/>
        <w:ind w:firstLine="240"/>
        <w:jc w:val="center"/>
        <w:rPr>
          <w:highlight w:val="none"/>
        </w:rPr>
      </w:pPr>
      <w:r>
        <w:rPr>
          <w:highlight w:val="none"/>
        </w:rPr>
        <w:t> </w:t>
      </w:r>
    </w:p>
    <w:p w14:paraId="5FF63AF8">
      <w:pPr>
        <w:pStyle w:val="12"/>
        <w:spacing w:beforeAutospacing="0" w:afterAutospacing="0" w:line="0" w:lineRule="atLeast"/>
        <w:ind w:firstLine="240"/>
        <w:jc w:val="center"/>
        <w:rPr>
          <w:highlight w:val="none"/>
        </w:rPr>
      </w:pPr>
      <w:r>
        <w:rPr>
          <w:highlight w:val="none"/>
        </w:rPr>
        <w:t> </w:t>
      </w:r>
    </w:p>
    <w:p w14:paraId="09AF5CA3">
      <w:pPr>
        <w:pStyle w:val="12"/>
        <w:spacing w:beforeAutospacing="0" w:afterAutospacing="0" w:line="0" w:lineRule="atLeast"/>
        <w:ind w:firstLine="240"/>
        <w:jc w:val="center"/>
        <w:rPr>
          <w:highlight w:val="none"/>
        </w:rPr>
      </w:pPr>
      <w:r>
        <w:rPr>
          <w:highlight w:val="none"/>
        </w:rPr>
        <w:t> </w:t>
      </w:r>
    </w:p>
    <w:p w14:paraId="212BE2DE">
      <w:pPr>
        <w:pStyle w:val="12"/>
        <w:spacing w:beforeAutospacing="0" w:afterAutospacing="0" w:line="0" w:lineRule="atLeast"/>
        <w:ind w:firstLine="240"/>
        <w:jc w:val="center"/>
        <w:rPr>
          <w:highlight w:val="none"/>
        </w:rPr>
      </w:pPr>
      <w:r>
        <w:rPr>
          <w:highlight w:val="none"/>
        </w:rPr>
        <w:t> </w:t>
      </w:r>
    </w:p>
    <w:p w14:paraId="5F43314E">
      <w:pPr>
        <w:pStyle w:val="12"/>
        <w:spacing w:beforeAutospacing="0" w:afterAutospacing="0" w:line="0" w:lineRule="atLeast"/>
        <w:ind w:firstLine="240"/>
        <w:jc w:val="center"/>
        <w:rPr>
          <w:highlight w:val="none"/>
        </w:rPr>
      </w:pPr>
    </w:p>
    <w:p w14:paraId="62026C5B">
      <w:pPr>
        <w:pStyle w:val="12"/>
        <w:spacing w:beforeAutospacing="0" w:afterAutospacing="0" w:line="0" w:lineRule="atLeast"/>
        <w:ind w:firstLine="240"/>
        <w:jc w:val="center"/>
        <w:rPr>
          <w:highlight w:val="none"/>
        </w:rPr>
      </w:pPr>
    </w:p>
    <w:p w14:paraId="3AAF460A">
      <w:pPr>
        <w:pStyle w:val="12"/>
        <w:spacing w:beforeAutospacing="0" w:afterAutospacing="0" w:line="0" w:lineRule="atLeast"/>
        <w:ind w:firstLine="240"/>
        <w:jc w:val="center"/>
        <w:rPr>
          <w:highlight w:val="none"/>
        </w:rPr>
      </w:pPr>
    </w:p>
    <w:p w14:paraId="3CB4837C">
      <w:pPr>
        <w:pStyle w:val="12"/>
        <w:spacing w:beforeAutospacing="0" w:afterAutospacing="0" w:line="0" w:lineRule="atLeast"/>
        <w:ind w:firstLine="240"/>
        <w:jc w:val="center"/>
        <w:rPr>
          <w:highlight w:val="none"/>
        </w:rPr>
      </w:pPr>
    </w:p>
    <w:p w14:paraId="015F5116">
      <w:pPr>
        <w:pStyle w:val="12"/>
        <w:spacing w:beforeAutospacing="0" w:afterAutospacing="0" w:line="0" w:lineRule="atLeast"/>
        <w:ind w:firstLine="240"/>
        <w:jc w:val="center"/>
        <w:rPr>
          <w:highlight w:val="none"/>
        </w:rPr>
      </w:pPr>
    </w:p>
    <w:p w14:paraId="62F8D512">
      <w:pPr>
        <w:pStyle w:val="12"/>
        <w:spacing w:beforeAutospacing="0" w:afterAutospacing="0" w:line="0" w:lineRule="atLeast"/>
        <w:ind w:firstLine="240"/>
        <w:jc w:val="center"/>
        <w:rPr>
          <w:highlight w:val="none"/>
        </w:rPr>
      </w:pPr>
    </w:p>
    <w:p w14:paraId="17003511">
      <w:pPr>
        <w:pStyle w:val="12"/>
        <w:spacing w:beforeAutospacing="0" w:afterAutospacing="0" w:line="0" w:lineRule="atLeast"/>
        <w:ind w:firstLine="240"/>
        <w:jc w:val="center"/>
        <w:rPr>
          <w:highlight w:val="none"/>
        </w:rPr>
      </w:pPr>
    </w:p>
    <w:p w14:paraId="509B8982">
      <w:pPr>
        <w:pStyle w:val="12"/>
        <w:spacing w:beforeAutospacing="0" w:afterAutospacing="0" w:line="0" w:lineRule="atLeast"/>
        <w:jc w:val="both"/>
        <w:rPr>
          <w:highlight w:val="none"/>
        </w:rPr>
      </w:pPr>
    </w:p>
    <w:p w14:paraId="69D6B82F">
      <w:pPr>
        <w:pStyle w:val="12"/>
        <w:spacing w:beforeAutospacing="0" w:afterAutospacing="0" w:line="0" w:lineRule="atLeast"/>
        <w:ind w:firstLine="240"/>
        <w:jc w:val="center"/>
        <w:rPr>
          <w:highlight w:val="none"/>
        </w:rPr>
      </w:pPr>
      <w:r>
        <w:rPr>
          <w:highlight w:val="none"/>
        </w:rPr>
        <w:t> </w:t>
      </w:r>
    </w:p>
    <w:p w14:paraId="76E9D5C9">
      <w:pPr>
        <w:pStyle w:val="12"/>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九、小微企业声明函（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2"/>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2"/>
        <w:spacing w:beforeAutospacing="0" w:afterAutospacing="0" w:line="0" w:lineRule="atLeast"/>
        <w:ind w:right="720"/>
        <w:jc w:val="both"/>
        <w:rPr>
          <w:color w:val="auto"/>
          <w:highlight w:val="none"/>
        </w:rPr>
      </w:pPr>
      <w:r>
        <w:rPr>
          <w:color w:val="auto"/>
          <w:highlight w:val="none"/>
        </w:rPr>
        <w:t> </w:t>
      </w:r>
    </w:p>
    <w:p w14:paraId="6CD49601">
      <w:pPr>
        <w:pStyle w:val="12"/>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2"/>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2"/>
        <w:spacing w:beforeAutospacing="0" w:afterAutospacing="0" w:line="0" w:lineRule="atLeast"/>
        <w:ind w:firstLine="240"/>
        <w:jc w:val="both"/>
        <w:rPr>
          <w:color w:val="auto"/>
          <w:highlight w:val="none"/>
        </w:rPr>
      </w:pPr>
      <w:r>
        <w:rPr>
          <w:color w:val="auto"/>
          <w:highlight w:val="none"/>
        </w:rPr>
        <w:t> </w:t>
      </w:r>
    </w:p>
    <w:p w14:paraId="5FD8B9FE">
      <w:pPr>
        <w:pStyle w:val="1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46289143">
      <w:pPr>
        <w:pStyle w:val="12"/>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w:t>
      </w:r>
    </w:p>
    <w:p w14:paraId="7B41EFB3">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项目（分包号：**）采购活动提供本单位制造的货物，或者提供其他残疾人福利性单位制造的货物（不包括使用非残疾人福利性单位注册商标的货物）。</w:t>
      </w:r>
    </w:p>
    <w:p w14:paraId="513C51D7">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3C91D281">
      <w:pPr>
        <w:pStyle w:val="12"/>
        <w:spacing w:beforeAutospacing="0" w:afterAutospacing="0" w:line="0" w:lineRule="atLeast"/>
        <w:ind w:firstLine="480"/>
        <w:jc w:val="both"/>
        <w:rPr>
          <w:highlight w:val="none"/>
        </w:rPr>
      </w:pPr>
      <w:r>
        <w:rPr>
          <w:highlight w:val="none"/>
        </w:rPr>
        <w:t> </w:t>
      </w:r>
    </w:p>
    <w:p w14:paraId="3C2317A8">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。2、中标供应商为残疾人福利单位的，此声明函将随中标结果同时公告，接受社会监督</w:t>
      </w:r>
    </w:p>
    <w:p w14:paraId="6AEABBF0">
      <w:pPr>
        <w:pStyle w:val="12"/>
        <w:spacing w:beforeAutospacing="0" w:afterAutospacing="0" w:line="0" w:lineRule="atLeast"/>
        <w:ind w:firstLine="624"/>
        <w:jc w:val="both"/>
        <w:rPr>
          <w:highlight w:val="none"/>
        </w:rPr>
      </w:pPr>
      <w:r>
        <w:rPr>
          <w:highlight w:val="none"/>
        </w:rPr>
        <w:t> </w:t>
      </w:r>
    </w:p>
    <w:p w14:paraId="626039F8">
      <w:pPr>
        <w:pStyle w:val="12"/>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4F09B48A">
      <w:pPr>
        <w:pStyle w:val="12"/>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6095EC64">
      <w:pPr>
        <w:pStyle w:val="12"/>
        <w:spacing w:beforeAutospacing="0" w:afterAutospacing="0" w:line="0" w:lineRule="atLeast"/>
        <w:jc w:val="center"/>
        <w:rPr>
          <w:highlight w:val="none"/>
        </w:rPr>
      </w:pPr>
      <w:r>
        <w:rPr>
          <w:highlight w:val="none"/>
        </w:rPr>
        <w:t> </w:t>
      </w:r>
    </w:p>
    <w:p w14:paraId="67480088">
      <w:pPr>
        <w:pStyle w:val="12"/>
        <w:spacing w:beforeAutospacing="0" w:afterAutospacing="0" w:line="0" w:lineRule="atLeast"/>
        <w:jc w:val="center"/>
        <w:rPr>
          <w:highlight w:val="none"/>
        </w:rPr>
      </w:pPr>
      <w:r>
        <w:rPr>
          <w:highlight w:val="none"/>
        </w:rPr>
        <w:t> </w:t>
      </w:r>
    </w:p>
    <w:p w14:paraId="16D7708B">
      <w:pPr>
        <w:pStyle w:val="12"/>
        <w:spacing w:beforeAutospacing="0" w:afterAutospacing="0" w:line="0" w:lineRule="atLeast"/>
        <w:jc w:val="center"/>
        <w:rPr>
          <w:highlight w:val="none"/>
        </w:rPr>
      </w:pPr>
      <w:r>
        <w:rPr>
          <w:highlight w:val="none"/>
        </w:rPr>
        <w:t> </w:t>
      </w:r>
    </w:p>
    <w:p w14:paraId="37A39D5D">
      <w:pPr>
        <w:pStyle w:val="12"/>
        <w:spacing w:beforeAutospacing="0" w:afterAutospacing="0" w:line="0" w:lineRule="atLeast"/>
        <w:jc w:val="center"/>
        <w:rPr>
          <w:highlight w:val="none"/>
        </w:rPr>
      </w:pPr>
      <w:r>
        <w:rPr>
          <w:highlight w:val="none"/>
        </w:rPr>
        <w:t> </w:t>
      </w:r>
    </w:p>
    <w:p w14:paraId="4BC37A6F">
      <w:pPr>
        <w:pStyle w:val="12"/>
        <w:spacing w:beforeAutospacing="0" w:afterAutospacing="0" w:line="0" w:lineRule="atLeast"/>
        <w:jc w:val="center"/>
        <w:rPr>
          <w:highlight w:val="none"/>
        </w:rPr>
      </w:pPr>
      <w:r>
        <w:rPr>
          <w:highlight w:val="none"/>
        </w:rPr>
        <w:t> </w:t>
      </w:r>
    </w:p>
    <w:p w14:paraId="5CC4CBFF">
      <w:pPr>
        <w:pStyle w:val="12"/>
        <w:spacing w:beforeAutospacing="0" w:afterAutospacing="0" w:line="0" w:lineRule="atLeast"/>
        <w:jc w:val="center"/>
        <w:rPr>
          <w:highlight w:val="none"/>
        </w:rPr>
      </w:pPr>
      <w:r>
        <w:rPr>
          <w:highlight w:val="none"/>
        </w:rPr>
        <w:t> </w:t>
      </w:r>
    </w:p>
    <w:p w14:paraId="7599688C">
      <w:pPr>
        <w:pStyle w:val="12"/>
        <w:spacing w:beforeAutospacing="0" w:afterAutospacing="0" w:line="0" w:lineRule="atLeast"/>
        <w:jc w:val="center"/>
        <w:rPr>
          <w:highlight w:val="none"/>
        </w:rPr>
      </w:pPr>
      <w:r>
        <w:rPr>
          <w:highlight w:val="none"/>
        </w:rPr>
        <w:t> </w:t>
      </w:r>
    </w:p>
    <w:p w14:paraId="4C81E594">
      <w:pPr>
        <w:pStyle w:val="12"/>
        <w:spacing w:beforeAutospacing="0" w:afterAutospacing="0" w:line="0" w:lineRule="atLeast"/>
        <w:jc w:val="center"/>
        <w:rPr>
          <w:highlight w:val="none"/>
        </w:rPr>
      </w:pPr>
      <w:r>
        <w:rPr>
          <w:highlight w:val="none"/>
        </w:rPr>
        <w:t> </w:t>
      </w:r>
    </w:p>
    <w:p w14:paraId="59FA9411">
      <w:pPr>
        <w:pStyle w:val="12"/>
        <w:spacing w:beforeAutospacing="0" w:afterAutospacing="0" w:line="0" w:lineRule="atLeast"/>
        <w:jc w:val="center"/>
        <w:rPr>
          <w:highlight w:val="none"/>
        </w:rPr>
      </w:pPr>
      <w:r>
        <w:rPr>
          <w:highlight w:val="none"/>
        </w:rPr>
        <w:t> </w:t>
      </w:r>
    </w:p>
    <w:p w14:paraId="24879B48">
      <w:pPr>
        <w:pStyle w:val="12"/>
        <w:spacing w:beforeAutospacing="0" w:afterAutospacing="0" w:line="0" w:lineRule="atLeast"/>
        <w:jc w:val="center"/>
        <w:rPr>
          <w:highlight w:val="none"/>
        </w:rPr>
      </w:pPr>
    </w:p>
    <w:p w14:paraId="18A83768">
      <w:pPr>
        <w:pStyle w:val="12"/>
        <w:spacing w:beforeAutospacing="0" w:afterAutospacing="0" w:line="0" w:lineRule="atLeast"/>
        <w:jc w:val="center"/>
        <w:rPr>
          <w:highlight w:val="none"/>
        </w:rPr>
      </w:pPr>
    </w:p>
    <w:p w14:paraId="3FB74B8A">
      <w:pPr>
        <w:pStyle w:val="12"/>
        <w:spacing w:beforeAutospacing="0" w:afterAutospacing="0" w:line="0" w:lineRule="atLeast"/>
        <w:jc w:val="center"/>
        <w:rPr>
          <w:highlight w:val="none"/>
        </w:rPr>
      </w:pPr>
    </w:p>
    <w:p w14:paraId="3D16B2B5">
      <w:pPr>
        <w:pStyle w:val="12"/>
        <w:spacing w:beforeAutospacing="0" w:afterAutospacing="0" w:line="0" w:lineRule="atLeast"/>
        <w:jc w:val="center"/>
        <w:rPr>
          <w:highlight w:val="none"/>
        </w:rPr>
      </w:pPr>
    </w:p>
    <w:p w14:paraId="7F04C1B5">
      <w:pPr>
        <w:pStyle w:val="12"/>
        <w:spacing w:beforeAutospacing="0" w:afterAutospacing="0" w:line="0" w:lineRule="atLeast"/>
        <w:jc w:val="center"/>
        <w:rPr>
          <w:highlight w:val="none"/>
        </w:rPr>
      </w:pPr>
    </w:p>
    <w:p w14:paraId="1686469F">
      <w:pPr>
        <w:pStyle w:val="12"/>
        <w:spacing w:beforeAutospacing="0" w:afterAutospacing="0" w:line="0" w:lineRule="atLeast"/>
        <w:jc w:val="center"/>
        <w:rPr>
          <w:highlight w:val="none"/>
        </w:rPr>
      </w:pPr>
    </w:p>
    <w:p w14:paraId="7FBDBFF4">
      <w:pPr>
        <w:pStyle w:val="12"/>
        <w:spacing w:beforeAutospacing="0" w:afterAutospacing="0" w:line="0" w:lineRule="atLeast"/>
        <w:jc w:val="center"/>
        <w:rPr>
          <w:highlight w:val="none"/>
        </w:rPr>
      </w:pPr>
    </w:p>
    <w:p w14:paraId="7A648D0F">
      <w:pPr>
        <w:pStyle w:val="12"/>
        <w:spacing w:beforeAutospacing="0" w:afterAutospacing="0" w:line="0" w:lineRule="atLeast"/>
        <w:jc w:val="center"/>
        <w:rPr>
          <w:highlight w:val="none"/>
        </w:rPr>
      </w:pPr>
    </w:p>
    <w:p w14:paraId="6E9DCFEF">
      <w:pPr>
        <w:pStyle w:val="12"/>
        <w:spacing w:beforeAutospacing="0" w:afterAutospacing="0" w:line="0" w:lineRule="atLeast"/>
        <w:jc w:val="center"/>
        <w:rPr>
          <w:highlight w:val="none"/>
        </w:rPr>
      </w:pPr>
    </w:p>
    <w:p w14:paraId="36193849">
      <w:pPr>
        <w:pStyle w:val="12"/>
        <w:spacing w:beforeAutospacing="0" w:afterAutospacing="0" w:line="0" w:lineRule="atLeast"/>
        <w:jc w:val="center"/>
        <w:rPr>
          <w:highlight w:val="none"/>
        </w:rPr>
      </w:pPr>
    </w:p>
    <w:p w14:paraId="46C71334">
      <w:pPr>
        <w:pStyle w:val="12"/>
        <w:spacing w:beforeAutospacing="0" w:afterAutospacing="0" w:line="0" w:lineRule="atLeast"/>
        <w:jc w:val="center"/>
        <w:rPr>
          <w:highlight w:val="none"/>
        </w:rPr>
      </w:pPr>
    </w:p>
    <w:p w14:paraId="1AE4014D">
      <w:pPr>
        <w:pStyle w:val="12"/>
        <w:spacing w:beforeAutospacing="0" w:afterAutospacing="0" w:line="0" w:lineRule="atLeast"/>
        <w:jc w:val="center"/>
        <w:rPr>
          <w:highlight w:val="none"/>
        </w:rPr>
      </w:pPr>
    </w:p>
    <w:p w14:paraId="7F6874A2">
      <w:pPr>
        <w:pStyle w:val="12"/>
        <w:spacing w:beforeAutospacing="0" w:afterAutospacing="0" w:line="0" w:lineRule="atLeast"/>
        <w:jc w:val="center"/>
        <w:rPr>
          <w:highlight w:val="none"/>
        </w:rPr>
      </w:pPr>
    </w:p>
    <w:p w14:paraId="4267139D">
      <w:pPr>
        <w:pStyle w:val="12"/>
        <w:spacing w:beforeAutospacing="0" w:afterAutospacing="0" w:line="0" w:lineRule="atLeast"/>
        <w:jc w:val="center"/>
        <w:rPr>
          <w:highlight w:val="none"/>
        </w:rPr>
      </w:pPr>
    </w:p>
    <w:p w14:paraId="1ACDECBB">
      <w:pPr>
        <w:pStyle w:val="12"/>
        <w:spacing w:beforeAutospacing="0" w:afterAutospacing="0" w:line="0" w:lineRule="atLeast"/>
        <w:jc w:val="center"/>
        <w:rPr>
          <w:highlight w:val="none"/>
        </w:rPr>
      </w:pPr>
    </w:p>
    <w:p w14:paraId="1E92FB9F">
      <w:pPr>
        <w:pStyle w:val="12"/>
        <w:spacing w:beforeAutospacing="0" w:afterAutospacing="0" w:line="0" w:lineRule="atLeast"/>
        <w:jc w:val="center"/>
        <w:rPr>
          <w:highlight w:val="none"/>
        </w:rPr>
      </w:pPr>
    </w:p>
    <w:p w14:paraId="6E218534">
      <w:pPr>
        <w:pStyle w:val="12"/>
        <w:spacing w:beforeAutospacing="0" w:afterAutospacing="0" w:line="0" w:lineRule="atLeast"/>
        <w:jc w:val="center"/>
        <w:rPr>
          <w:highlight w:val="none"/>
        </w:rPr>
      </w:pPr>
    </w:p>
    <w:p w14:paraId="7EC1D134">
      <w:pPr>
        <w:pStyle w:val="12"/>
        <w:spacing w:beforeAutospacing="0" w:afterAutospacing="0" w:line="0" w:lineRule="atLeast"/>
        <w:jc w:val="center"/>
        <w:rPr>
          <w:highlight w:val="none"/>
        </w:rPr>
      </w:pPr>
    </w:p>
    <w:p w14:paraId="648B5389">
      <w:pPr>
        <w:pStyle w:val="12"/>
        <w:spacing w:beforeAutospacing="0" w:afterAutospacing="0" w:line="0" w:lineRule="atLeast"/>
        <w:jc w:val="center"/>
        <w:rPr>
          <w:highlight w:val="none"/>
        </w:rPr>
      </w:pPr>
    </w:p>
    <w:p w14:paraId="5002E696">
      <w:pPr>
        <w:pStyle w:val="12"/>
        <w:spacing w:beforeAutospacing="0" w:afterAutospacing="0" w:line="0" w:lineRule="atLeast"/>
        <w:jc w:val="center"/>
        <w:rPr>
          <w:highlight w:val="none"/>
        </w:rPr>
      </w:pPr>
      <w:r>
        <w:rPr>
          <w:highlight w:val="none"/>
        </w:rPr>
        <w:t> </w:t>
      </w:r>
    </w:p>
    <w:p w14:paraId="42B5319F">
      <w:pPr>
        <w:pStyle w:val="12"/>
        <w:spacing w:beforeAutospacing="0" w:afterAutospacing="0" w:line="0" w:lineRule="atLeast"/>
        <w:jc w:val="center"/>
        <w:rPr>
          <w:highlight w:val="none"/>
        </w:rPr>
      </w:pPr>
    </w:p>
    <w:p w14:paraId="76D8AB59">
      <w:pPr>
        <w:pStyle w:val="12"/>
        <w:spacing w:beforeAutospacing="0" w:afterAutospacing="0" w:line="0" w:lineRule="atLeast"/>
        <w:jc w:val="center"/>
        <w:rPr>
          <w:highlight w:val="none"/>
        </w:rPr>
      </w:pPr>
      <w:r>
        <w:rPr>
          <w:highlight w:val="none"/>
        </w:rPr>
        <w:t> </w:t>
      </w:r>
    </w:p>
    <w:p w14:paraId="3C5F4ED1">
      <w:pPr>
        <w:pStyle w:val="12"/>
        <w:spacing w:beforeAutospacing="0" w:afterAutospacing="0" w:line="0" w:lineRule="atLeast"/>
        <w:jc w:val="both"/>
        <w:rPr>
          <w:highlight w:val="none"/>
        </w:rPr>
        <w:sectPr>
          <w:headerReference r:id="rId3" w:type="default"/>
          <w:footerReference r:id="rId4" w:type="default"/>
          <w:pgSz w:w="11906" w:h="16838"/>
          <w:pgMar w:top="1440" w:right="1080" w:bottom="1440" w:left="1080" w:header="851" w:footer="992" w:gutter="0"/>
          <w:cols w:space="720" w:num="1"/>
          <w:docGrid w:linePitch="360" w:charSpace="0"/>
        </w:sectPr>
      </w:pPr>
      <w:r>
        <w:rPr>
          <w:highlight w:val="none"/>
        </w:rPr>
        <w:t> </w:t>
      </w:r>
    </w:p>
    <w:p w14:paraId="2705FFA5">
      <w:pPr>
        <w:pStyle w:val="12"/>
        <w:spacing w:beforeAutospacing="0" w:afterAutospacing="0" w:line="0" w:lineRule="atLeast"/>
        <w:jc w:val="both"/>
        <w:rPr>
          <w:highlight w:val="none"/>
        </w:rPr>
      </w:pPr>
    </w:p>
    <w:p w14:paraId="03BD6FEE">
      <w:pPr>
        <w:pStyle w:val="12"/>
        <w:spacing w:beforeAutospacing="0" w:afterAutospacing="0"/>
        <w:jc w:val="both"/>
        <w:rPr>
          <w:highlight w:val="none"/>
        </w:rPr>
      </w:pPr>
      <w:r>
        <w:rPr>
          <w:highlight w:val="none"/>
        </w:rPr>
        <w:t> </w:t>
      </w:r>
    </w:p>
    <w:p w14:paraId="5B028F52">
      <w:pPr>
        <w:pStyle w:val="12"/>
        <w:numPr>
          <w:ilvl w:val="0"/>
          <w:numId w:val="3"/>
        </w:numPr>
        <w:spacing w:beforeAutospacing="0" w:afterAutospacing="0"/>
        <w:jc w:val="center"/>
        <w:rPr>
          <w:rFonts w:hint="eastAsia"/>
          <w:b/>
          <w:sz w:val="32"/>
          <w:szCs w:val="32"/>
          <w:u w:val="single"/>
        </w:rPr>
      </w:pPr>
      <w:r>
        <w:rPr>
          <w:rFonts w:hint="eastAsia"/>
          <w:b/>
          <w:sz w:val="32"/>
          <w:szCs w:val="32"/>
          <w:u w:val="single"/>
        </w:rPr>
        <w:t>联合体协议（参考格式）</w:t>
      </w:r>
    </w:p>
    <w:p w14:paraId="53CDB507">
      <w:pPr>
        <w:pStyle w:val="12"/>
        <w:numPr>
          <w:ilvl w:val="0"/>
          <w:numId w:val="0"/>
        </w:numPr>
        <w:spacing w:beforeAutospacing="0" w:afterAutospacing="0"/>
        <w:jc w:val="both"/>
        <w:rPr>
          <w:rFonts w:hint="eastAsia"/>
          <w:b/>
          <w:sz w:val="32"/>
          <w:szCs w:val="32"/>
          <w:u w:val="single"/>
          <w:lang w:val="en-US" w:eastAsia="zh-CN"/>
        </w:rPr>
      </w:pPr>
      <w:r>
        <w:rPr>
          <w:rFonts w:hint="eastAsia"/>
        </w:rPr>
        <w:t>本项目不接受联合体投标。</w:t>
      </w:r>
    </w:p>
    <w:p w14:paraId="06E30767">
      <w:pPr>
        <w:pStyle w:val="12"/>
        <w:numPr>
          <w:ilvl w:val="0"/>
          <w:numId w:val="0"/>
        </w:numPr>
        <w:spacing w:beforeAutospacing="0" w:afterAutospacing="0"/>
        <w:jc w:val="center"/>
        <w:rPr>
          <w:rFonts w:hint="eastAsia" w:ascii="黑体" w:hAnsi="宋体" w:eastAsia="黑体" w:cs="黑体"/>
          <w:b/>
          <w:color w:val="000000"/>
          <w:sz w:val="32"/>
          <w:szCs w:val="32"/>
          <w:highlight w:val="none"/>
        </w:rPr>
      </w:pPr>
    </w:p>
    <w:p w14:paraId="11BC64E8">
      <w:pPr>
        <w:pStyle w:val="12"/>
        <w:numPr>
          <w:ilvl w:val="0"/>
          <w:numId w:val="0"/>
        </w:numPr>
        <w:spacing w:beforeAutospacing="0" w:afterAutospacing="0"/>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十二、</w:t>
      </w:r>
      <w:r>
        <w:rPr>
          <w:rFonts w:hint="eastAsia" w:ascii="黑体" w:hAnsi="宋体" w:eastAsia="黑体" w:cs="黑体"/>
          <w:b/>
          <w:color w:val="000000"/>
          <w:sz w:val="32"/>
          <w:szCs w:val="32"/>
          <w:highlight w:val="none"/>
        </w:rPr>
        <w:t>投标分项报价表</w:t>
      </w:r>
    </w:p>
    <w:p w14:paraId="368EE447">
      <w:pPr>
        <w:spacing w:line="400" w:lineRule="exact"/>
        <w:jc w:val="right"/>
        <w:rPr>
          <w:rFonts w:hint="eastAsia" w:ascii="黑体" w:hAnsi="宋体" w:eastAsia="黑体" w:cs="黑体"/>
          <w:b/>
          <w:color w:val="000000"/>
          <w:sz w:val="32"/>
          <w:szCs w:val="32"/>
          <w:highlight w:val="none"/>
        </w:rPr>
      </w:pPr>
      <w:r>
        <w:rPr>
          <w:rFonts w:hint="eastAsia" w:ascii="宋体" w:hAnsi="宋体" w:cs="Angsana New"/>
          <w:sz w:val="24"/>
          <w:lang w:bidi="th-TH"/>
        </w:rPr>
        <w:t>单位：元</w:t>
      </w:r>
    </w:p>
    <w:tbl>
      <w:tblPr>
        <w:tblStyle w:val="14"/>
        <w:tblW w:w="487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502"/>
        <w:gridCol w:w="1907"/>
        <w:gridCol w:w="926"/>
        <w:gridCol w:w="658"/>
        <w:gridCol w:w="1186"/>
        <w:gridCol w:w="1261"/>
        <w:gridCol w:w="1167"/>
        <w:gridCol w:w="1086"/>
        <w:gridCol w:w="917"/>
      </w:tblGrid>
      <w:tr w14:paraId="17A7A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41" w:hRule="atLeast"/>
          <w:jc w:val="center"/>
        </w:trPr>
        <w:tc>
          <w:tcPr>
            <w:tcW w:w="502" w:type="dxa"/>
            <w:noWrap w:val="0"/>
            <w:vAlign w:val="center"/>
          </w:tcPr>
          <w:p w14:paraId="45BC9971">
            <w:pPr>
              <w:jc w:val="center"/>
              <w:rPr>
                <w:rFonts w:ascii="宋体" w:cs="宋体"/>
                <w:b w:val="0"/>
                <w:bCs w:val="0"/>
                <w:sz w:val="24"/>
                <w:szCs w:val="24"/>
              </w:rPr>
            </w:pPr>
            <w:r>
              <w:rPr>
                <w:rFonts w:hint="eastAsia" w:ascii="宋体" w:hAnsi="宋体" w:cs="宋体"/>
                <w:b w:val="0"/>
                <w:bCs w:val="0"/>
                <w:sz w:val="24"/>
                <w:szCs w:val="24"/>
              </w:rPr>
              <w:t>序号</w:t>
            </w:r>
          </w:p>
        </w:tc>
        <w:tc>
          <w:tcPr>
            <w:tcW w:w="1907" w:type="dxa"/>
            <w:noWrap w:val="0"/>
            <w:vAlign w:val="center"/>
          </w:tcPr>
          <w:p w14:paraId="6DD47566">
            <w:pPr>
              <w:jc w:val="center"/>
              <w:rPr>
                <w:rFonts w:ascii="宋体" w:cs="宋体"/>
                <w:b w:val="0"/>
                <w:bCs w:val="0"/>
                <w:sz w:val="24"/>
                <w:szCs w:val="24"/>
              </w:rPr>
            </w:pPr>
            <w:r>
              <w:rPr>
                <w:rFonts w:hint="eastAsia" w:ascii="宋体" w:hAnsi="宋体" w:cs="宋体"/>
                <w:b w:val="0"/>
                <w:bCs w:val="0"/>
                <w:sz w:val="24"/>
                <w:szCs w:val="24"/>
              </w:rPr>
              <w:t>设备名称</w:t>
            </w:r>
          </w:p>
        </w:tc>
        <w:tc>
          <w:tcPr>
            <w:tcW w:w="926" w:type="dxa"/>
            <w:noWrap w:val="0"/>
            <w:vAlign w:val="center"/>
          </w:tcPr>
          <w:p w14:paraId="12184DA9">
            <w:pPr>
              <w:jc w:val="center"/>
              <w:rPr>
                <w:rFonts w:hint="eastAsia" w:ascii="宋体" w:cs="宋体" w:eastAsiaTheme="minorEastAsia"/>
                <w:b w:val="0"/>
                <w:bCs w:val="0"/>
                <w:sz w:val="24"/>
                <w:szCs w:val="24"/>
                <w:lang w:eastAsia="zh-CN"/>
              </w:rPr>
            </w:pPr>
            <w:r>
              <w:rPr>
                <w:rFonts w:hint="eastAsia" w:ascii="宋体" w:hAnsi="宋体" w:cs="宋体"/>
                <w:b w:val="0"/>
                <w:bCs w:val="0"/>
                <w:color w:val="auto"/>
                <w:sz w:val="24"/>
                <w:szCs w:val="24"/>
              </w:rPr>
              <w:t>技术要求</w:t>
            </w:r>
          </w:p>
        </w:tc>
        <w:tc>
          <w:tcPr>
            <w:tcW w:w="658" w:type="dxa"/>
            <w:shd w:val="clear" w:color="auto" w:fill="auto"/>
            <w:noWrap w:val="0"/>
            <w:vAlign w:val="center"/>
          </w:tcPr>
          <w:p w14:paraId="29214D98">
            <w:pPr>
              <w:jc w:val="center"/>
              <w:rPr>
                <w:rFonts w:hint="eastAsia" w:ascii="宋体" w:cs="宋体" w:hAnsiTheme="minorHAnsi" w:eastAsiaTheme="minorEastAsia"/>
                <w:b w:val="0"/>
                <w:bCs w:val="0"/>
                <w:kern w:val="2"/>
                <w:sz w:val="24"/>
                <w:szCs w:val="24"/>
                <w:lang w:val="en-US" w:eastAsia="zh-CN" w:bidi="ar-SA"/>
              </w:rPr>
            </w:pPr>
            <w:r>
              <w:rPr>
                <w:rFonts w:hint="eastAsia" w:ascii="宋体" w:hAnsi="宋体" w:cs="宋体"/>
                <w:b w:val="0"/>
                <w:bCs w:val="0"/>
                <w:sz w:val="24"/>
                <w:szCs w:val="24"/>
              </w:rPr>
              <w:t>数量</w:t>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台</w:t>
            </w:r>
            <w:r>
              <w:rPr>
                <w:rFonts w:hint="eastAsia" w:ascii="宋体" w:hAnsi="宋体" w:cs="宋体"/>
                <w:b w:val="0"/>
                <w:bCs w:val="0"/>
                <w:sz w:val="24"/>
                <w:szCs w:val="24"/>
                <w:lang w:eastAsia="zh-CN"/>
              </w:rPr>
              <w:t>）</w:t>
            </w:r>
          </w:p>
        </w:tc>
        <w:tc>
          <w:tcPr>
            <w:tcW w:w="1186" w:type="dxa"/>
            <w:noWrap w:val="0"/>
            <w:vAlign w:val="center"/>
          </w:tcPr>
          <w:p w14:paraId="56658752">
            <w:pPr>
              <w:jc w:val="center"/>
              <w:rPr>
                <w:rFonts w:hint="default" w:eastAsiaTheme="minorEastAsia"/>
                <w:lang w:val="en-US" w:eastAsia="zh-CN"/>
              </w:rPr>
            </w:pPr>
            <w:r>
              <w:rPr>
                <w:rFonts w:hint="eastAsia"/>
                <w:lang w:val="en-US" w:eastAsia="zh-CN"/>
              </w:rPr>
              <w:t>招标控制单价</w:t>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元/台</w:t>
            </w:r>
            <w:r>
              <w:rPr>
                <w:rFonts w:hint="eastAsia" w:ascii="宋体" w:hAnsi="宋体" w:cs="宋体"/>
                <w:b w:val="0"/>
                <w:bCs w:val="0"/>
                <w:sz w:val="24"/>
                <w:szCs w:val="24"/>
                <w:lang w:eastAsia="zh-CN"/>
              </w:rPr>
              <w:t>）</w:t>
            </w:r>
          </w:p>
        </w:tc>
        <w:tc>
          <w:tcPr>
            <w:tcW w:w="1261" w:type="dxa"/>
            <w:noWrap w:val="0"/>
            <w:vAlign w:val="center"/>
          </w:tcPr>
          <w:p w14:paraId="459C317B">
            <w:pPr>
              <w:jc w:val="center"/>
              <w:rPr>
                <w:rFonts w:hint="eastAsia" w:ascii="宋体" w:cs="宋体" w:eastAsiaTheme="minorEastAsia"/>
                <w:b w:val="0"/>
                <w:bCs w:val="0"/>
                <w:sz w:val="24"/>
                <w:szCs w:val="24"/>
                <w:lang w:eastAsia="zh-CN"/>
              </w:rPr>
            </w:pPr>
            <w:r>
              <w:rPr>
                <w:rFonts w:hint="eastAsia" w:ascii="宋体" w:hAnsi="宋体" w:cs="宋体"/>
                <w:b w:val="0"/>
                <w:bCs w:val="0"/>
                <w:sz w:val="24"/>
                <w:szCs w:val="24"/>
                <w:lang w:val="en-US" w:eastAsia="zh-CN"/>
              </w:rPr>
              <w:t>投标综合</w:t>
            </w:r>
            <w:r>
              <w:rPr>
                <w:rFonts w:hint="eastAsia" w:ascii="宋体" w:hAnsi="宋体" w:cs="宋体"/>
                <w:b w:val="0"/>
                <w:bCs w:val="0"/>
                <w:sz w:val="24"/>
                <w:szCs w:val="24"/>
              </w:rPr>
              <w:t>单价</w:t>
            </w:r>
            <w:r>
              <w:rPr>
                <w:rFonts w:hint="eastAsia" w:ascii="宋体" w:hAnsi="宋体" w:cs="宋体"/>
                <w:b w:val="0"/>
                <w:bCs w:val="0"/>
                <w:sz w:val="24"/>
                <w:szCs w:val="24"/>
                <w:lang w:val="en-US" w:eastAsia="zh-CN"/>
              </w:rPr>
              <w:t xml:space="preserve">   </w:t>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元/台</w:t>
            </w:r>
            <w:r>
              <w:rPr>
                <w:rFonts w:hint="eastAsia" w:ascii="宋体" w:hAnsi="宋体" w:cs="宋体"/>
                <w:b w:val="0"/>
                <w:bCs w:val="0"/>
                <w:sz w:val="24"/>
                <w:szCs w:val="24"/>
                <w:lang w:eastAsia="zh-CN"/>
              </w:rPr>
              <w:t>）</w:t>
            </w:r>
          </w:p>
        </w:tc>
        <w:tc>
          <w:tcPr>
            <w:tcW w:w="1167" w:type="dxa"/>
            <w:noWrap w:val="0"/>
            <w:vAlign w:val="center"/>
          </w:tcPr>
          <w:p w14:paraId="0EA2E363">
            <w:pPr>
              <w:jc w:val="center"/>
              <w:rPr>
                <w:rFonts w:hint="eastAsia" w:ascii="宋体" w:cs="宋体" w:eastAsiaTheme="minorEastAsia"/>
                <w:b w:val="0"/>
                <w:bCs w:val="0"/>
                <w:sz w:val="24"/>
                <w:szCs w:val="24"/>
                <w:lang w:eastAsia="zh-CN"/>
              </w:rPr>
            </w:pPr>
            <w:r>
              <w:rPr>
                <w:rFonts w:hint="eastAsia" w:ascii="宋体" w:hAnsi="宋体" w:cs="宋体"/>
                <w:b w:val="0"/>
                <w:bCs w:val="0"/>
                <w:sz w:val="24"/>
                <w:szCs w:val="24"/>
                <w:lang w:val="en-US" w:eastAsia="zh-CN"/>
              </w:rPr>
              <w:t>投标</w:t>
            </w:r>
            <w:r>
              <w:rPr>
                <w:rFonts w:hint="eastAsia" w:ascii="宋体" w:hAnsi="宋体" w:cs="宋体"/>
                <w:b w:val="0"/>
                <w:bCs w:val="0"/>
                <w:sz w:val="24"/>
                <w:szCs w:val="24"/>
              </w:rPr>
              <w:t>合价</w:t>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元</w:t>
            </w:r>
            <w:r>
              <w:rPr>
                <w:rFonts w:hint="eastAsia" w:ascii="宋体" w:hAnsi="宋体" w:cs="宋体"/>
                <w:b w:val="0"/>
                <w:bCs w:val="0"/>
                <w:sz w:val="24"/>
                <w:szCs w:val="24"/>
                <w:lang w:eastAsia="zh-CN"/>
              </w:rPr>
              <w:t>）</w:t>
            </w:r>
          </w:p>
        </w:tc>
        <w:tc>
          <w:tcPr>
            <w:tcW w:w="1086" w:type="dxa"/>
            <w:noWrap w:val="0"/>
            <w:vAlign w:val="center"/>
          </w:tcPr>
          <w:p w14:paraId="7BDCB490">
            <w:pPr>
              <w:jc w:val="center"/>
              <w:rPr>
                <w:rFonts w:ascii="宋体" w:cs="宋体"/>
                <w:b w:val="0"/>
                <w:bCs w:val="0"/>
                <w:sz w:val="24"/>
                <w:szCs w:val="24"/>
              </w:rPr>
            </w:pPr>
            <w:r>
              <w:rPr>
                <w:rFonts w:hint="eastAsia" w:ascii="宋体" w:hAnsi="宋体" w:cs="宋体"/>
                <w:b w:val="0"/>
                <w:bCs w:val="0"/>
                <w:sz w:val="24"/>
                <w:szCs w:val="24"/>
              </w:rPr>
              <w:t>投标品牌</w:t>
            </w:r>
            <w:r>
              <w:rPr>
                <w:rFonts w:hint="eastAsia" w:ascii="宋体" w:hAnsi="宋体" w:cs="宋体"/>
                <w:b w:val="0"/>
                <w:bCs w:val="0"/>
                <w:color w:val="auto"/>
                <w:sz w:val="24"/>
                <w:szCs w:val="24"/>
              </w:rPr>
              <w:t>投标人投标品牌及型号</w:t>
            </w:r>
          </w:p>
          <w:p w14:paraId="5A506F28">
            <w:pPr>
              <w:jc w:val="center"/>
              <w:rPr>
                <w:rFonts w:ascii="宋体" w:cs="宋体"/>
                <w:b w:val="0"/>
                <w:bCs w:val="0"/>
                <w:sz w:val="24"/>
                <w:szCs w:val="24"/>
              </w:rPr>
            </w:pPr>
          </w:p>
        </w:tc>
        <w:tc>
          <w:tcPr>
            <w:tcW w:w="917" w:type="dxa"/>
            <w:noWrap w:val="0"/>
            <w:vAlign w:val="center"/>
          </w:tcPr>
          <w:p w14:paraId="74178421">
            <w:pPr>
              <w:jc w:val="center"/>
              <w:rPr>
                <w:rFonts w:hint="eastAsia" w:ascii="宋体" w:hAnsi="宋体" w:cs="宋体" w:eastAsiaTheme="minorEastAsia"/>
                <w:b w:val="0"/>
                <w:bCs w:val="0"/>
                <w:sz w:val="24"/>
                <w:szCs w:val="24"/>
                <w:lang w:val="en-US" w:eastAsia="zh-CN"/>
              </w:rPr>
            </w:pPr>
            <w:r>
              <w:rPr>
                <w:rFonts w:hint="eastAsia" w:ascii="宋体" w:hAnsi="宋体" w:cs="宋体"/>
                <w:b w:val="0"/>
                <w:bCs w:val="0"/>
                <w:sz w:val="24"/>
                <w:szCs w:val="24"/>
                <w:lang w:val="en-US" w:eastAsia="zh-CN"/>
              </w:rPr>
              <w:t>备注</w:t>
            </w:r>
          </w:p>
        </w:tc>
      </w:tr>
      <w:tr w14:paraId="11148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22" w:hRule="atLeast"/>
          <w:jc w:val="center"/>
        </w:trPr>
        <w:tc>
          <w:tcPr>
            <w:tcW w:w="502" w:type="dxa"/>
            <w:noWrap w:val="0"/>
            <w:vAlign w:val="center"/>
          </w:tcPr>
          <w:p w14:paraId="40547FA7">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1</w:t>
            </w:r>
          </w:p>
        </w:tc>
        <w:tc>
          <w:tcPr>
            <w:tcW w:w="1907" w:type="dxa"/>
            <w:noWrap w:val="0"/>
            <w:vAlign w:val="center"/>
          </w:tcPr>
          <w:p w14:paraId="76E3A100">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脉动真空灭菌器</w:t>
            </w:r>
          </w:p>
        </w:tc>
        <w:tc>
          <w:tcPr>
            <w:tcW w:w="926" w:type="dxa"/>
            <w:vMerge w:val="restart"/>
            <w:noWrap w:val="0"/>
            <w:vAlign w:val="center"/>
          </w:tcPr>
          <w:p w14:paraId="5C2FE2A2">
            <w:pPr>
              <w:jc w:val="center"/>
              <w:rPr>
                <w:rFonts w:hint="eastAsia" w:ascii="宋体" w:hAnsi="宋体" w:eastAsia="宋体" w:cs="宋体"/>
                <w:sz w:val="18"/>
                <w:szCs w:val="18"/>
                <w:lang w:val="en-US" w:eastAsia="zh-CN" w:bidi="th-TH"/>
              </w:rPr>
            </w:pPr>
            <w:r>
              <w:rPr>
                <w:rFonts w:hint="eastAsia" w:ascii="宋体" w:hAnsi="宋体" w:cs="宋体"/>
                <w:b w:val="0"/>
                <w:bCs w:val="0"/>
                <w:sz w:val="24"/>
                <w:szCs w:val="24"/>
                <w:lang w:val="en-US" w:eastAsia="zh-CN"/>
              </w:rPr>
              <w:t>详见“第四章 采购需求”</w:t>
            </w:r>
          </w:p>
        </w:tc>
        <w:tc>
          <w:tcPr>
            <w:tcW w:w="658" w:type="dxa"/>
            <w:shd w:val="clear" w:color="auto" w:fill="auto"/>
            <w:noWrap w:val="0"/>
            <w:vAlign w:val="center"/>
          </w:tcPr>
          <w:p w14:paraId="5867394A">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1</w:t>
            </w:r>
          </w:p>
        </w:tc>
        <w:tc>
          <w:tcPr>
            <w:tcW w:w="1186" w:type="dxa"/>
            <w:noWrap w:val="0"/>
            <w:vAlign w:val="center"/>
          </w:tcPr>
          <w:p w14:paraId="6C1B5332">
            <w:pPr>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315000.00</w:t>
            </w:r>
          </w:p>
        </w:tc>
        <w:tc>
          <w:tcPr>
            <w:tcW w:w="1261" w:type="dxa"/>
            <w:noWrap w:val="0"/>
            <w:vAlign w:val="center"/>
          </w:tcPr>
          <w:p w14:paraId="519C1934">
            <w:pPr>
              <w:spacing w:line="400" w:lineRule="exact"/>
              <w:jc w:val="center"/>
              <w:rPr>
                <w:rFonts w:hint="eastAsia" w:ascii="宋体" w:hAnsi="宋体" w:eastAsia="宋体" w:cs="宋体"/>
                <w:sz w:val="18"/>
                <w:szCs w:val="18"/>
                <w:lang w:bidi="th-TH"/>
              </w:rPr>
            </w:pPr>
          </w:p>
        </w:tc>
        <w:tc>
          <w:tcPr>
            <w:tcW w:w="1167" w:type="dxa"/>
            <w:noWrap w:val="0"/>
            <w:vAlign w:val="center"/>
          </w:tcPr>
          <w:p w14:paraId="13C39C1D">
            <w:pPr>
              <w:spacing w:line="400" w:lineRule="exact"/>
              <w:jc w:val="center"/>
              <w:rPr>
                <w:rFonts w:hint="eastAsia" w:ascii="宋体" w:hAnsi="宋体" w:eastAsia="宋体" w:cs="宋体"/>
                <w:sz w:val="18"/>
                <w:szCs w:val="18"/>
                <w:lang w:bidi="th-TH"/>
              </w:rPr>
            </w:pPr>
          </w:p>
        </w:tc>
        <w:tc>
          <w:tcPr>
            <w:tcW w:w="1086" w:type="dxa"/>
            <w:noWrap w:val="0"/>
            <w:vAlign w:val="center"/>
          </w:tcPr>
          <w:p w14:paraId="23C7FEDD">
            <w:pPr>
              <w:spacing w:line="400" w:lineRule="exact"/>
              <w:jc w:val="center"/>
              <w:rPr>
                <w:rFonts w:hint="eastAsia" w:ascii="宋体" w:hAnsi="宋体" w:eastAsia="宋体" w:cs="宋体"/>
                <w:sz w:val="18"/>
                <w:szCs w:val="18"/>
                <w:lang w:bidi="th-TH"/>
              </w:rPr>
            </w:pPr>
          </w:p>
        </w:tc>
        <w:tc>
          <w:tcPr>
            <w:tcW w:w="917" w:type="dxa"/>
            <w:noWrap w:val="0"/>
            <w:vAlign w:val="center"/>
          </w:tcPr>
          <w:p w14:paraId="51D8852D">
            <w:pPr>
              <w:spacing w:line="400" w:lineRule="exact"/>
              <w:jc w:val="center"/>
              <w:rPr>
                <w:rFonts w:hint="eastAsia" w:ascii="宋体" w:hAnsi="宋体" w:eastAsia="宋体" w:cs="宋体"/>
                <w:sz w:val="18"/>
                <w:szCs w:val="18"/>
                <w:lang w:bidi="th-TH"/>
              </w:rPr>
            </w:pPr>
          </w:p>
        </w:tc>
      </w:tr>
      <w:tr w14:paraId="08D52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28" w:hRule="atLeast"/>
          <w:jc w:val="center"/>
        </w:trPr>
        <w:tc>
          <w:tcPr>
            <w:tcW w:w="502" w:type="dxa"/>
            <w:noWrap w:val="0"/>
            <w:vAlign w:val="center"/>
          </w:tcPr>
          <w:p w14:paraId="78A78070">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2</w:t>
            </w:r>
          </w:p>
        </w:tc>
        <w:tc>
          <w:tcPr>
            <w:tcW w:w="1907" w:type="dxa"/>
            <w:noWrap w:val="0"/>
            <w:vAlign w:val="center"/>
          </w:tcPr>
          <w:p w14:paraId="184268A7">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减压沸腾清洗机</w:t>
            </w:r>
          </w:p>
        </w:tc>
        <w:tc>
          <w:tcPr>
            <w:tcW w:w="926" w:type="dxa"/>
            <w:vMerge w:val="continue"/>
            <w:noWrap w:val="0"/>
            <w:vAlign w:val="center"/>
          </w:tcPr>
          <w:p w14:paraId="7C407D8C">
            <w:pPr>
              <w:spacing w:line="400" w:lineRule="exact"/>
              <w:jc w:val="center"/>
              <w:rPr>
                <w:rFonts w:hint="eastAsia" w:ascii="宋体" w:hAnsi="宋体" w:eastAsia="宋体" w:cs="宋体"/>
                <w:sz w:val="18"/>
                <w:szCs w:val="18"/>
                <w:lang w:val="en-US" w:eastAsia="zh-CN" w:bidi="th-TH"/>
              </w:rPr>
            </w:pPr>
          </w:p>
        </w:tc>
        <w:tc>
          <w:tcPr>
            <w:tcW w:w="658" w:type="dxa"/>
            <w:shd w:val="clear" w:color="auto" w:fill="auto"/>
            <w:noWrap w:val="0"/>
            <w:vAlign w:val="center"/>
          </w:tcPr>
          <w:p w14:paraId="774B399E">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1</w:t>
            </w:r>
          </w:p>
        </w:tc>
        <w:tc>
          <w:tcPr>
            <w:tcW w:w="1186" w:type="dxa"/>
            <w:noWrap w:val="0"/>
            <w:vAlign w:val="center"/>
          </w:tcPr>
          <w:p w14:paraId="5ED749BD">
            <w:pPr>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245000.00</w:t>
            </w:r>
          </w:p>
        </w:tc>
        <w:tc>
          <w:tcPr>
            <w:tcW w:w="1261" w:type="dxa"/>
            <w:noWrap w:val="0"/>
            <w:vAlign w:val="center"/>
          </w:tcPr>
          <w:p w14:paraId="2CE9D58C">
            <w:pPr>
              <w:spacing w:line="400" w:lineRule="exact"/>
              <w:jc w:val="center"/>
              <w:rPr>
                <w:rFonts w:hint="eastAsia" w:ascii="宋体" w:hAnsi="宋体" w:eastAsia="宋体" w:cs="宋体"/>
                <w:sz w:val="18"/>
                <w:szCs w:val="18"/>
                <w:lang w:bidi="th-TH"/>
              </w:rPr>
            </w:pPr>
          </w:p>
        </w:tc>
        <w:tc>
          <w:tcPr>
            <w:tcW w:w="1167" w:type="dxa"/>
            <w:noWrap w:val="0"/>
            <w:vAlign w:val="center"/>
          </w:tcPr>
          <w:p w14:paraId="42AD5965">
            <w:pPr>
              <w:spacing w:line="400" w:lineRule="exact"/>
              <w:jc w:val="center"/>
              <w:rPr>
                <w:rFonts w:hint="eastAsia" w:ascii="宋体" w:hAnsi="宋体" w:eastAsia="宋体" w:cs="宋体"/>
                <w:sz w:val="18"/>
                <w:szCs w:val="18"/>
                <w:lang w:bidi="th-TH"/>
              </w:rPr>
            </w:pPr>
          </w:p>
        </w:tc>
        <w:tc>
          <w:tcPr>
            <w:tcW w:w="1086" w:type="dxa"/>
            <w:noWrap w:val="0"/>
            <w:vAlign w:val="center"/>
          </w:tcPr>
          <w:p w14:paraId="14359011">
            <w:pPr>
              <w:spacing w:line="400" w:lineRule="exact"/>
              <w:jc w:val="center"/>
              <w:rPr>
                <w:rFonts w:hint="eastAsia" w:ascii="宋体" w:hAnsi="宋体" w:eastAsia="宋体" w:cs="宋体"/>
                <w:sz w:val="18"/>
                <w:szCs w:val="18"/>
                <w:lang w:bidi="th-TH"/>
              </w:rPr>
            </w:pPr>
          </w:p>
        </w:tc>
        <w:tc>
          <w:tcPr>
            <w:tcW w:w="917" w:type="dxa"/>
            <w:noWrap w:val="0"/>
            <w:vAlign w:val="center"/>
          </w:tcPr>
          <w:p w14:paraId="206273C1">
            <w:pPr>
              <w:spacing w:line="400" w:lineRule="exact"/>
              <w:jc w:val="center"/>
              <w:rPr>
                <w:rFonts w:hint="eastAsia" w:ascii="宋体" w:hAnsi="宋体" w:eastAsia="宋体" w:cs="宋体"/>
                <w:sz w:val="18"/>
                <w:szCs w:val="18"/>
                <w:lang w:bidi="th-TH"/>
              </w:rPr>
            </w:pPr>
          </w:p>
        </w:tc>
      </w:tr>
      <w:tr w14:paraId="5AC3D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jc w:val="center"/>
        </w:trPr>
        <w:tc>
          <w:tcPr>
            <w:tcW w:w="3335" w:type="dxa"/>
            <w:gridSpan w:val="3"/>
            <w:noWrap w:val="0"/>
            <w:vAlign w:val="center"/>
          </w:tcPr>
          <w:p w14:paraId="26517C61">
            <w:pPr>
              <w:spacing w:line="400" w:lineRule="exact"/>
              <w:jc w:val="center"/>
              <w:rPr>
                <w:rFonts w:ascii="宋体" w:cs="宋体"/>
                <w:sz w:val="24"/>
                <w:lang w:bidi="th-TH"/>
              </w:rPr>
            </w:pPr>
            <w:r>
              <w:rPr>
                <w:rFonts w:hint="eastAsia" w:ascii="宋体" w:hAnsi="宋体" w:cs="宋体"/>
                <w:b/>
                <w:bCs/>
                <w:sz w:val="24"/>
                <w:lang w:val="en-US" w:eastAsia="zh-CN" w:bidi="th-TH"/>
              </w:rPr>
              <w:t>总  价（元）</w:t>
            </w:r>
          </w:p>
        </w:tc>
        <w:tc>
          <w:tcPr>
            <w:tcW w:w="6275" w:type="dxa"/>
            <w:gridSpan w:val="6"/>
            <w:noWrap w:val="0"/>
            <w:vAlign w:val="center"/>
          </w:tcPr>
          <w:p w14:paraId="41A0D42B">
            <w:pPr>
              <w:spacing w:line="400" w:lineRule="exact"/>
              <w:jc w:val="left"/>
              <w:rPr>
                <w:rFonts w:ascii="宋体" w:cs="宋体"/>
                <w:sz w:val="24"/>
                <w:lang w:bidi="th-TH"/>
              </w:rPr>
            </w:pPr>
            <w:r>
              <w:rPr>
                <w:rFonts w:hint="eastAsia" w:ascii="宋体" w:hAnsi="宋体" w:cs="宋体"/>
                <w:b/>
                <w:bCs/>
                <w:sz w:val="24"/>
                <w:lang w:val="en-US" w:eastAsia="zh-CN" w:bidi="th-TH"/>
              </w:rPr>
              <w:t>大写: 人民币                 （小写¥：              ）</w:t>
            </w:r>
          </w:p>
        </w:tc>
      </w:tr>
    </w:tbl>
    <w:p w14:paraId="76AAAF9B">
      <w:pPr>
        <w:pStyle w:val="12"/>
        <w:spacing w:beforeAutospacing="0" w:afterAutospacing="0"/>
        <w:jc w:val="both"/>
        <w:rPr>
          <w:rFonts w:hint="eastAsia" w:ascii="宋体" w:hAnsi="宋体" w:eastAsia="宋体" w:cs="宋体"/>
          <w:color w:val="000000"/>
          <w:highlight w:val="none"/>
        </w:rPr>
      </w:pPr>
    </w:p>
    <w:p w14:paraId="5CBF482E">
      <w:pPr>
        <w:pStyle w:val="12"/>
        <w:spacing w:beforeAutospacing="0" w:afterAutospacing="0"/>
        <w:jc w:val="both"/>
        <w:rPr>
          <w:highlight w:val="none"/>
          <w:shd w:val="clear" w:color="auto" w:fill="auto"/>
        </w:rPr>
      </w:pPr>
      <w:r>
        <w:rPr>
          <w:rFonts w:hint="eastAsia" w:ascii="宋体" w:hAnsi="宋体" w:eastAsia="宋体" w:cs="宋体"/>
          <w:color w:val="000000"/>
          <w:highlight w:val="none"/>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投标分项报价表</w:t>
      </w:r>
      <w:r>
        <w:rPr>
          <w:rFonts w:ascii="Times New Roman" w:hAnsi="Times New Roman"/>
          <w:color w:val="000000"/>
          <w:sz w:val="21"/>
          <w:szCs w:val="21"/>
          <w:highlight w:val="none"/>
        </w:rPr>
        <w:t>”</w:t>
      </w:r>
      <w:r>
        <w:rPr>
          <w:rFonts w:hint="eastAsia" w:ascii="宋体" w:hAnsi="宋体" w:eastAsia="宋体" w:cs="宋体"/>
          <w:color w:val="000000"/>
          <w:highlight w:val="none"/>
          <w:shd w:val="clear" w:color="auto" w:fill="auto"/>
        </w:rPr>
        <w:t>中“投标总报价”数额应当与“开标一览表”中“投标总报价”数额一致。</w:t>
      </w:r>
    </w:p>
    <w:p w14:paraId="649DAACB">
      <w:pPr>
        <w:pStyle w:val="12"/>
        <w:spacing w:beforeAutospacing="0" w:afterAutospacing="0"/>
        <w:jc w:val="both"/>
        <w:rPr>
          <w:highlight w:val="none"/>
          <w:shd w:val="clear" w:color="auto" w:fill="auto"/>
        </w:rPr>
      </w:pPr>
    </w:p>
    <w:p w14:paraId="699BEBFA">
      <w:pPr>
        <w:pStyle w:val="12"/>
        <w:spacing w:beforeAutospacing="0" w:afterAutospacing="0"/>
        <w:jc w:val="both"/>
        <w:rPr>
          <w:highlight w:val="none"/>
          <w:shd w:val="clear" w:color="auto" w:fill="auto"/>
        </w:rPr>
      </w:pPr>
      <w:r>
        <w:rPr>
          <w:highlight w:val="none"/>
          <w:shd w:val="clear" w:color="auto" w:fill="auto"/>
        </w:rPr>
        <w:t> </w:t>
      </w:r>
      <w:r>
        <w:rPr>
          <w:rFonts w:hint="eastAsia"/>
          <w:b/>
        </w:rPr>
        <w:t>投标人全称（加盖CA电子公章）</w:t>
      </w:r>
      <w:r>
        <w:rPr>
          <w:rFonts w:hint="eastAsia"/>
          <w:b/>
          <w:sz w:val="32"/>
          <w:szCs w:val="32"/>
        </w:rPr>
        <w:t>：</w:t>
      </w:r>
    </w:p>
    <w:p w14:paraId="22283C06">
      <w:pPr>
        <w:rPr>
          <w:highlight w:val="none"/>
        </w:rPr>
      </w:pPr>
    </w:p>
    <w:p w14:paraId="453C3A99">
      <w:pPr>
        <w:rPr>
          <w:highlight w:val="none"/>
        </w:rPr>
      </w:pPr>
    </w:p>
    <w:p w14:paraId="208ED513">
      <w:pPr>
        <w:rPr>
          <w:highlight w:val="none"/>
        </w:rPr>
      </w:pPr>
      <w:r>
        <w:rPr>
          <w:highlight w:val="none"/>
        </w:rPr>
        <w:t> </w:t>
      </w:r>
    </w:p>
    <w:p w14:paraId="240C4AF7">
      <w:pPr>
        <w:rPr>
          <w:highlight w:val="none"/>
        </w:rPr>
      </w:pPr>
    </w:p>
    <w:p w14:paraId="489C7CE8">
      <w:pPr>
        <w:rPr>
          <w:highlight w:val="none"/>
        </w:rPr>
      </w:pPr>
    </w:p>
    <w:p w14:paraId="534238E7">
      <w:pPr>
        <w:rPr>
          <w:highlight w:val="none"/>
        </w:rPr>
      </w:pPr>
    </w:p>
    <w:p w14:paraId="27720EC4">
      <w:pPr>
        <w:rPr>
          <w:highlight w:val="none"/>
        </w:rPr>
      </w:pPr>
    </w:p>
    <w:p w14:paraId="6AE872FE">
      <w:pPr>
        <w:rPr>
          <w:highlight w:val="none"/>
        </w:rPr>
      </w:pPr>
    </w:p>
    <w:p w14:paraId="6FC40E61">
      <w:pPr>
        <w:rPr>
          <w:highlight w:val="none"/>
        </w:rPr>
      </w:pPr>
    </w:p>
    <w:p w14:paraId="11DE111A">
      <w:pPr>
        <w:rPr>
          <w:highlight w:val="none"/>
        </w:rPr>
      </w:pPr>
    </w:p>
    <w:p w14:paraId="4816A337">
      <w:pPr>
        <w:pStyle w:val="12"/>
        <w:spacing w:beforeAutospacing="0" w:afterAutospacing="0"/>
        <w:jc w:val="both"/>
        <w:rPr>
          <w:highlight w:val="none"/>
        </w:rPr>
      </w:pPr>
    </w:p>
    <w:p w14:paraId="263EC39B">
      <w:pPr>
        <w:pStyle w:val="12"/>
        <w:numPr>
          <w:ilvl w:val="0"/>
          <w:numId w:val="0"/>
        </w:numPr>
        <w:spacing w:beforeAutospacing="0" w:afterAutospacing="0"/>
        <w:ind w:left="0" w:leftChars="0" w:firstLine="0" w:firstLineChars="0"/>
        <w:jc w:val="center"/>
        <w:rPr>
          <w:rFonts w:hint="eastAsia" w:ascii="黑体" w:hAnsi="宋体" w:eastAsia="黑体" w:cs="黑体"/>
          <w:b/>
          <w:color w:val="000000"/>
          <w:sz w:val="32"/>
          <w:szCs w:val="32"/>
          <w:highlight w:val="none"/>
        </w:rPr>
      </w:pPr>
      <w:r>
        <w:rPr>
          <w:rFonts w:hint="eastAsia" w:ascii="黑体" w:hAnsi="宋体" w:eastAsia="黑体" w:cs="黑体"/>
          <w:b/>
          <w:color w:val="000000"/>
          <w:kern w:val="0"/>
          <w:sz w:val="32"/>
          <w:szCs w:val="32"/>
          <w:lang w:val="en-US" w:eastAsia="zh-CN" w:bidi="ar-SA"/>
        </w:rPr>
        <w:t>十三、</w:t>
      </w:r>
      <w:r>
        <w:rPr>
          <w:rFonts w:hint="eastAsia" w:ascii="黑体" w:hAnsi="宋体" w:eastAsia="黑体" w:cs="黑体"/>
          <w:b/>
          <w:color w:val="000000"/>
          <w:sz w:val="32"/>
          <w:szCs w:val="32"/>
          <w:highlight w:val="none"/>
        </w:rPr>
        <w:t>技术要求响应及偏离表</w:t>
      </w:r>
    </w:p>
    <w:p w14:paraId="0D7C41A7">
      <w:pPr>
        <w:pStyle w:val="12"/>
        <w:spacing w:beforeAutospacing="0" w:afterAutospacing="0"/>
        <w:jc w:val="both"/>
        <w:rPr>
          <w:rFonts w:hint="eastAsia" w:ascii="黑体" w:hAnsi="宋体" w:eastAsia="黑体" w:cs="黑体"/>
          <w:b/>
          <w:color w:val="000000"/>
          <w:sz w:val="32"/>
          <w:szCs w:val="32"/>
          <w:highlight w:val="none"/>
        </w:rPr>
      </w:pPr>
      <w:r>
        <w:rPr>
          <w:rFonts w:hint="eastAsia"/>
          <w:b/>
        </w:rPr>
        <w:t>投标人全称（加盖投标人CA电子公章）</w:t>
      </w:r>
    </w:p>
    <w:tbl>
      <w:tblPr>
        <w:tblStyle w:val="14"/>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1947ED7E">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9BAE">
            <w:pPr>
              <w:pStyle w:val="12"/>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42FC">
            <w:pPr>
              <w:pStyle w:val="12"/>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9C51">
            <w:pPr>
              <w:pStyle w:val="12"/>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B14B">
            <w:pPr>
              <w:pStyle w:val="12"/>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B8CD">
            <w:pPr>
              <w:pStyle w:val="12"/>
              <w:spacing w:beforeAutospacing="0" w:afterAutospacing="0"/>
              <w:jc w:val="center"/>
              <w:rPr>
                <w:highlight w:val="none"/>
              </w:rPr>
            </w:pPr>
            <w:r>
              <w:rPr>
                <w:rFonts w:hint="eastAsia" w:ascii="宋体" w:hAnsi="宋体" w:eastAsia="宋体" w:cs="宋体"/>
                <w:color w:val="000000"/>
                <w:highlight w:val="none"/>
              </w:rPr>
              <w:t>证明</w:t>
            </w:r>
          </w:p>
          <w:p w14:paraId="67058F1B">
            <w:pPr>
              <w:pStyle w:val="12"/>
              <w:spacing w:beforeAutospacing="0" w:afterAutospacing="0"/>
              <w:jc w:val="center"/>
              <w:rPr>
                <w:highlight w:val="none"/>
              </w:rPr>
            </w:pPr>
            <w:r>
              <w:rPr>
                <w:rFonts w:hint="eastAsia" w:ascii="宋体" w:hAnsi="宋体" w:eastAsia="宋体" w:cs="宋体"/>
                <w:color w:val="000000"/>
                <w:highlight w:val="none"/>
              </w:rPr>
              <w:t>材料</w:t>
            </w:r>
          </w:p>
        </w:tc>
      </w:tr>
      <w:tr w14:paraId="49116A8C">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F2F8">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780E">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3180">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1514">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27E">
            <w:pPr>
              <w:pStyle w:val="12"/>
              <w:spacing w:beforeAutospacing="0" w:afterAutospacing="0"/>
              <w:jc w:val="center"/>
              <w:rPr>
                <w:highlight w:val="none"/>
              </w:rPr>
            </w:pPr>
            <w:r>
              <w:rPr>
                <w:highlight w:val="none"/>
              </w:rPr>
              <w:t> </w:t>
            </w:r>
          </w:p>
        </w:tc>
      </w:tr>
      <w:tr w14:paraId="71461CAC">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3C1C">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C477">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E729">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67F7">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41BE">
            <w:pPr>
              <w:pStyle w:val="12"/>
              <w:spacing w:beforeAutospacing="0" w:afterAutospacing="0"/>
              <w:jc w:val="center"/>
              <w:rPr>
                <w:highlight w:val="none"/>
              </w:rPr>
            </w:pPr>
            <w:r>
              <w:rPr>
                <w:highlight w:val="none"/>
              </w:rPr>
              <w:t> </w:t>
            </w:r>
          </w:p>
        </w:tc>
      </w:tr>
      <w:tr w14:paraId="30E1A92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9AFE">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1E88">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C901">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77B0">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888E">
            <w:pPr>
              <w:pStyle w:val="12"/>
              <w:spacing w:beforeAutospacing="0" w:afterAutospacing="0"/>
              <w:jc w:val="center"/>
              <w:rPr>
                <w:highlight w:val="none"/>
              </w:rPr>
            </w:pPr>
            <w:r>
              <w:rPr>
                <w:highlight w:val="none"/>
              </w:rPr>
              <w:t> </w:t>
            </w:r>
          </w:p>
        </w:tc>
      </w:tr>
      <w:tr w14:paraId="5B3EE96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FB44">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765F">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0F52">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E09E">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04CF">
            <w:pPr>
              <w:pStyle w:val="12"/>
              <w:spacing w:beforeAutospacing="0" w:afterAutospacing="0"/>
              <w:jc w:val="center"/>
              <w:rPr>
                <w:highlight w:val="none"/>
              </w:rPr>
            </w:pPr>
            <w:r>
              <w:rPr>
                <w:highlight w:val="none"/>
              </w:rPr>
              <w:t> </w:t>
            </w:r>
          </w:p>
        </w:tc>
      </w:tr>
      <w:tr w14:paraId="436A2180">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F68C">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9289">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164E">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E01C">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5063">
            <w:pPr>
              <w:pStyle w:val="12"/>
              <w:spacing w:beforeAutospacing="0" w:afterAutospacing="0"/>
              <w:jc w:val="center"/>
              <w:rPr>
                <w:highlight w:val="none"/>
              </w:rPr>
            </w:pPr>
            <w:r>
              <w:rPr>
                <w:highlight w:val="none"/>
              </w:rPr>
              <w:t> </w:t>
            </w:r>
          </w:p>
        </w:tc>
      </w:tr>
      <w:tr w14:paraId="24E3E33F">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AF43">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D1BC">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C8B6">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E6D4">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6C54">
            <w:pPr>
              <w:pStyle w:val="12"/>
              <w:spacing w:beforeAutospacing="0" w:afterAutospacing="0"/>
              <w:jc w:val="center"/>
              <w:rPr>
                <w:highlight w:val="none"/>
              </w:rPr>
            </w:pPr>
            <w:r>
              <w:rPr>
                <w:highlight w:val="none"/>
              </w:rPr>
              <w:t> </w:t>
            </w:r>
          </w:p>
        </w:tc>
      </w:tr>
      <w:tr w14:paraId="3238C6D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3828">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4D71">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3AD4">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787B">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9FD5">
            <w:pPr>
              <w:pStyle w:val="12"/>
              <w:spacing w:beforeAutospacing="0" w:afterAutospacing="0"/>
              <w:jc w:val="center"/>
              <w:rPr>
                <w:highlight w:val="none"/>
              </w:rPr>
            </w:pPr>
            <w:r>
              <w:rPr>
                <w:highlight w:val="none"/>
              </w:rPr>
              <w:t> </w:t>
            </w:r>
          </w:p>
        </w:tc>
      </w:tr>
      <w:tr w14:paraId="0E964A8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24A0">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AB63">
            <w:pPr>
              <w:pStyle w:val="12"/>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3CAC">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7AE0">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F699">
            <w:pPr>
              <w:pStyle w:val="12"/>
              <w:spacing w:beforeAutospacing="0" w:afterAutospacing="0"/>
              <w:jc w:val="center"/>
              <w:rPr>
                <w:highlight w:val="none"/>
              </w:rPr>
            </w:pPr>
            <w:r>
              <w:rPr>
                <w:highlight w:val="none"/>
              </w:rPr>
              <w:t> </w:t>
            </w:r>
          </w:p>
        </w:tc>
      </w:tr>
    </w:tbl>
    <w:p w14:paraId="36AF6280">
      <w:pPr>
        <w:pStyle w:val="12"/>
        <w:spacing w:beforeAutospacing="0" w:afterAutospacing="0"/>
        <w:jc w:val="both"/>
        <w:rPr>
          <w:highlight w:val="none"/>
        </w:rPr>
      </w:pPr>
      <w:r>
        <w:rPr>
          <w:rFonts w:hint="eastAsia" w:ascii="宋体" w:hAnsi="宋体" w:eastAsia="宋体" w:cs="宋体"/>
          <w:color w:val="000000"/>
          <w:highlight w:val="none"/>
        </w:rPr>
        <w:t>注： 行数不够，可自行添加。</w:t>
      </w:r>
    </w:p>
    <w:p w14:paraId="4F1C81C5">
      <w:pPr>
        <w:pStyle w:val="12"/>
        <w:spacing w:beforeAutospacing="0" w:afterAutospacing="0"/>
        <w:jc w:val="center"/>
        <w:rPr>
          <w:highlight w:val="none"/>
        </w:rPr>
      </w:pPr>
      <w:r>
        <w:rPr>
          <w:highlight w:val="none"/>
        </w:rPr>
        <w:t> </w:t>
      </w:r>
    </w:p>
    <w:p w14:paraId="5D3ECF4B">
      <w:pPr>
        <w:pStyle w:val="12"/>
        <w:spacing w:beforeAutospacing="0" w:afterAutospacing="0"/>
        <w:jc w:val="center"/>
        <w:rPr>
          <w:highlight w:val="none"/>
        </w:rPr>
      </w:pPr>
      <w:r>
        <w:rPr>
          <w:highlight w:val="none"/>
        </w:rPr>
        <w:t> </w:t>
      </w:r>
    </w:p>
    <w:p w14:paraId="6C205399">
      <w:pPr>
        <w:pStyle w:val="12"/>
        <w:spacing w:beforeAutospacing="0" w:afterAutospacing="0"/>
        <w:jc w:val="center"/>
        <w:rPr>
          <w:highlight w:val="none"/>
        </w:rPr>
      </w:pPr>
      <w:r>
        <w:rPr>
          <w:highlight w:val="none"/>
        </w:rPr>
        <w:t> </w:t>
      </w:r>
    </w:p>
    <w:p w14:paraId="4AA038E0">
      <w:pPr>
        <w:pStyle w:val="12"/>
        <w:spacing w:beforeAutospacing="0" w:afterAutospacing="0"/>
        <w:jc w:val="center"/>
        <w:rPr>
          <w:highlight w:val="none"/>
        </w:rPr>
      </w:pPr>
      <w:r>
        <w:rPr>
          <w:highlight w:val="none"/>
        </w:rPr>
        <w:t> </w:t>
      </w:r>
    </w:p>
    <w:p w14:paraId="2959F3C4">
      <w:pPr>
        <w:pStyle w:val="12"/>
        <w:spacing w:beforeAutospacing="0" w:afterAutospacing="0"/>
        <w:jc w:val="both"/>
        <w:rPr>
          <w:highlight w:val="none"/>
        </w:rPr>
      </w:pPr>
      <w:r>
        <w:rPr>
          <w:highlight w:val="none"/>
        </w:rPr>
        <w:t> </w:t>
      </w:r>
    </w:p>
    <w:p w14:paraId="1B060B71">
      <w:pPr>
        <w:pStyle w:val="12"/>
        <w:spacing w:beforeAutospacing="0" w:afterAutospacing="0"/>
        <w:jc w:val="both"/>
        <w:rPr>
          <w:highlight w:val="none"/>
        </w:rPr>
      </w:pPr>
      <w:r>
        <w:rPr>
          <w:highlight w:val="none"/>
        </w:rPr>
        <w:t> </w:t>
      </w:r>
    </w:p>
    <w:p w14:paraId="3F046A88">
      <w:pPr>
        <w:pStyle w:val="12"/>
        <w:spacing w:beforeAutospacing="0" w:afterAutospacing="0"/>
        <w:jc w:val="both"/>
        <w:rPr>
          <w:highlight w:val="none"/>
        </w:rPr>
      </w:pPr>
      <w:r>
        <w:rPr>
          <w:highlight w:val="none"/>
        </w:rPr>
        <w:t> </w:t>
      </w:r>
    </w:p>
    <w:p w14:paraId="54721F13">
      <w:pPr>
        <w:pStyle w:val="12"/>
        <w:spacing w:beforeAutospacing="0" w:afterAutospacing="0"/>
        <w:jc w:val="both"/>
        <w:rPr>
          <w:highlight w:val="none"/>
        </w:rPr>
      </w:pPr>
      <w:r>
        <w:rPr>
          <w:highlight w:val="none"/>
        </w:rPr>
        <w:t> </w:t>
      </w:r>
    </w:p>
    <w:p w14:paraId="7F2D6E94">
      <w:pPr>
        <w:pStyle w:val="12"/>
        <w:spacing w:beforeAutospacing="0" w:afterAutospacing="0"/>
        <w:jc w:val="both"/>
        <w:rPr>
          <w:highlight w:val="none"/>
        </w:rPr>
      </w:pPr>
      <w:r>
        <w:rPr>
          <w:highlight w:val="none"/>
        </w:rPr>
        <w:t> </w:t>
      </w:r>
    </w:p>
    <w:p w14:paraId="79DFEAD6">
      <w:pPr>
        <w:pStyle w:val="12"/>
        <w:spacing w:beforeAutospacing="0" w:afterAutospacing="0"/>
        <w:jc w:val="both"/>
        <w:rPr>
          <w:highlight w:val="none"/>
        </w:rPr>
      </w:pPr>
    </w:p>
    <w:p w14:paraId="41802066">
      <w:pPr>
        <w:pStyle w:val="12"/>
        <w:spacing w:beforeAutospacing="0" w:afterAutospacing="0"/>
        <w:jc w:val="both"/>
        <w:rPr>
          <w:highlight w:val="none"/>
        </w:rPr>
      </w:pPr>
    </w:p>
    <w:p w14:paraId="15162D24">
      <w:pPr>
        <w:pStyle w:val="12"/>
        <w:spacing w:beforeAutospacing="0" w:afterAutospacing="0"/>
        <w:jc w:val="both"/>
        <w:rPr>
          <w:highlight w:val="none"/>
        </w:rPr>
      </w:pPr>
    </w:p>
    <w:p w14:paraId="573890F5">
      <w:pPr>
        <w:pStyle w:val="12"/>
        <w:spacing w:beforeAutospacing="0" w:afterAutospacing="0"/>
        <w:jc w:val="both"/>
        <w:rPr>
          <w:highlight w:val="none"/>
        </w:rPr>
      </w:pPr>
    </w:p>
    <w:p w14:paraId="17B0392B">
      <w:pPr>
        <w:pStyle w:val="12"/>
        <w:spacing w:beforeAutospacing="0" w:afterAutospacing="0"/>
        <w:jc w:val="both"/>
        <w:rPr>
          <w:highlight w:val="none"/>
        </w:rPr>
      </w:pPr>
    </w:p>
    <w:p w14:paraId="6D7A0174">
      <w:pPr>
        <w:pStyle w:val="12"/>
        <w:spacing w:beforeAutospacing="0" w:afterAutospacing="0"/>
        <w:jc w:val="both"/>
        <w:rPr>
          <w:highlight w:val="none"/>
        </w:rPr>
      </w:pPr>
    </w:p>
    <w:p w14:paraId="068EBCCD">
      <w:pPr>
        <w:pStyle w:val="12"/>
        <w:spacing w:beforeAutospacing="0" w:afterAutospacing="0"/>
        <w:jc w:val="both"/>
        <w:rPr>
          <w:highlight w:val="none"/>
        </w:rPr>
      </w:pPr>
    </w:p>
    <w:p w14:paraId="5622EEA8">
      <w:pPr>
        <w:pStyle w:val="12"/>
        <w:spacing w:beforeAutospacing="0" w:afterAutospacing="0"/>
        <w:jc w:val="both"/>
        <w:rPr>
          <w:highlight w:val="none"/>
        </w:rPr>
      </w:pPr>
    </w:p>
    <w:p w14:paraId="632E11EB">
      <w:pPr>
        <w:pStyle w:val="12"/>
        <w:spacing w:beforeAutospacing="0" w:afterAutospacing="0"/>
        <w:jc w:val="both"/>
        <w:rPr>
          <w:highlight w:val="none"/>
        </w:rPr>
      </w:pPr>
    </w:p>
    <w:p w14:paraId="0343474A">
      <w:pPr>
        <w:pStyle w:val="12"/>
        <w:spacing w:beforeAutospacing="0" w:afterAutospacing="0"/>
        <w:jc w:val="both"/>
        <w:rPr>
          <w:highlight w:val="none"/>
        </w:rPr>
      </w:pPr>
    </w:p>
    <w:p w14:paraId="7E0C087F">
      <w:pPr>
        <w:pStyle w:val="12"/>
        <w:spacing w:beforeAutospacing="0" w:afterAutospacing="0"/>
        <w:jc w:val="both"/>
        <w:rPr>
          <w:highlight w:val="none"/>
        </w:rPr>
      </w:pPr>
    </w:p>
    <w:p w14:paraId="3A8794A2">
      <w:pPr>
        <w:pStyle w:val="12"/>
        <w:spacing w:beforeAutospacing="0" w:afterAutospacing="0"/>
        <w:jc w:val="both"/>
        <w:rPr>
          <w:highlight w:val="none"/>
        </w:rPr>
      </w:pPr>
    </w:p>
    <w:p w14:paraId="336D829F">
      <w:pPr>
        <w:pStyle w:val="12"/>
        <w:spacing w:beforeAutospacing="0" w:afterAutospacing="0"/>
        <w:jc w:val="both"/>
        <w:rPr>
          <w:highlight w:val="none"/>
        </w:rPr>
      </w:pPr>
      <w:r>
        <w:rPr>
          <w:highlight w:val="none"/>
        </w:rPr>
        <w:t> </w:t>
      </w:r>
    </w:p>
    <w:p w14:paraId="2B05566F">
      <w:pPr>
        <w:pStyle w:val="12"/>
        <w:numPr>
          <w:ilvl w:val="0"/>
          <w:numId w:val="0"/>
        </w:numPr>
        <w:spacing w:beforeAutospacing="0" w:afterAutospacing="0"/>
        <w:ind w:left="0" w:leftChars="0" w:firstLine="0" w:firstLineChars="0"/>
        <w:jc w:val="center"/>
        <w:rPr>
          <w:rFonts w:hint="eastAsia" w:ascii="黑体" w:hAnsi="宋体" w:eastAsia="黑体" w:cs="黑体"/>
          <w:b/>
          <w:color w:val="000000"/>
          <w:sz w:val="32"/>
          <w:szCs w:val="32"/>
          <w:highlight w:val="none"/>
        </w:rPr>
      </w:pPr>
      <w:bookmarkStart w:id="174" w:name="_Hlt26955054"/>
      <w:r>
        <w:rPr>
          <w:rFonts w:hint="eastAsia" w:ascii="黑体" w:hAnsi="宋体" w:eastAsia="黑体" w:cs="黑体"/>
          <w:b/>
          <w:color w:val="000000"/>
          <w:kern w:val="0"/>
          <w:sz w:val="32"/>
          <w:szCs w:val="32"/>
          <w:lang w:val="en-US" w:eastAsia="zh-CN" w:bidi="ar-SA"/>
        </w:rPr>
        <w:t>十四、</w:t>
      </w:r>
      <w:r>
        <w:rPr>
          <w:rFonts w:hint="eastAsia" w:ascii="黑体" w:hAnsi="宋体" w:eastAsia="黑体" w:cs="黑体"/>
          <w:b/>
          <w:color w:val="000000"/>
          <w:sz w:val="32"/>
          <w:szCs w:val="32"/>
          <w:highlight w:val="none"/>
        </w:rPr>
        <w:t>商务要求响应及偏离表</w:t>
      </w:r>
    </w:p>
    <w:p w14:paraId="67E95550">
      <w:pPr>
        <w:pStyle w:val="12"/>
        <w:spacing w:beforeAutospacing="0" w:afterAutospacing="0"/>
        <w:rPr>
          <w:b/>
          <w:u w:val="single"/>
        </w:rPr>
      </w:pPr>
      <w:r>
        <w:rPr>
          <w:rFonts w:hint="eastAsia"/>
          <w:b/>
          <w:u w:val="single"/>
        </w:rPr>
        <w:t>投标人全称（加盖投标人CA电子公章）</w:t>
      </w:r>
    </w:p>
    <w:tbl>
      <w:tblPr>
        <w:tblStyle w:val="14"/>
        <w:tblpPr w:leftFromText="180" w:rightFromText="180" w:vertAnchor="text" w:horzAnchor="page" w:tblpX="1495" w:tblpY="331"/>
        <w:tblOverlap w:val="never"/>
        <w:tblW w:w="9150" w:type="dxa"/>
        <w:jc w:val="center"/>
        <w:tblCellSpacing w:w="0" w:type="dxa"/>
        <w:tblLayout w:type="fixed"/>
        <w:tblCellMar>
          <w:top w:w="0" w:type="dxa"/>
          <w:left w:w="108" w:type="dxa"/>
          <w:bottom w:w="0" w:type="dxa"/>
          <w:right w:w="108" w:type="dxa"/>
        </w:tblCellMar>
      </w:tblPr>
      <w:tblGrid>
        <w:gridCol w:w="538"/>
        <w:gridCol w:w="3026"/>
        <w:gridCol w:w="2608"/>
        <w:gridCol w:w="1596"/>
        <w:gridCol w:w="1382"/>
      </w:tblGrid>
      <w:tr w14:paraId="5EDECDCF">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1199">
            <w:pPr>
              <w:pStyle w:val="12"/>
              <w:spacing w:beforeAutospacing="0" w:afterAutospacing="0"/>
              <w:jc w:val="center"/>
              <w:rPr>
                <w:highlight w:val="none"/>
              </w:rPr>
            </w:pPr>
            <w:bookmarkStart w:id="175" w:name="_Hlt26782999"/>
            <w:bookmarkStart w:id="176" w:name="_Hlt26955064"/>
            <w:bookmarkStart w:id="177" w:name="_Hlt26671372"/>
            <w:bookmarkStart w:id="178" w:name="_Hlt26580838"/>
            <w:bookmarkStart w:id="179" w:name="_Hlt24879081"/>
            <w:bookmarkStart w:id="180" w:name="_Hlt26609391"/>
            <w:bookmarkStart w:id="181" w:name="_Hlt26955056"/>
            <w:bookmarkStart w:id="182" w:name="_Hlt26671343"/>
            <w:r>
              <w:rPr>
                <w:rFonts w:hint="eastAsia" w:ascii="宋体" w:hAnsi="宋体" w:eastAsia="宋体" w:cs="宋体"/>
                <w:color w:val="000000"/>
                <w:highlight w:val="none"/>
              </w:rPr>
              <w:t>序号</w:t>
            </w:r>
          </w:p>
          <w:bookmarkEnd w:id="175"/>
          <w:bookmarkEnd w:id="176"/>
          <w:bookmarkEnd w:id="177"/>
          <w:bookmarkEnd w:id="178"/>
          <w:bookmarkEnd w:id="179"/>
          <w:bookmarkEnd w:id="180"/>
          <w:bookmarkEnd w:id="181"/>
          <w:bookmarkEnd w:id="182"/>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79FF5">
            <w:pPr>
              <w:pStyle w:val="12"/>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B198A">
            <w:pPr>
              <w:pStyle w:val="12"/>
              <w:spacing w:beforeAutospacing="0" w:afterAutospacing="0"/>
              <w:jc w:val="center"/>
              <w:rPr>
                <w:highlight w:val="none"/>
              </w:rPr>
            </w:pPr>
            <w:r>
              <w:rPr>
                <w:rFonts w:hint="eastAsia" w:ascii="宋体" w:hAnsi="宋体" w:eastAsia="宋体" w:cs="宋体"/>
                <w:color w:val="000000"/>
                <w:highlight w:val="none"/>
              </w:rPr>
              <w:t>投标响应情况</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1B50F">
            <w:pPr>
              <w:pStyle w:val="12"/>
              <w:spacing w:beforeAutospacing="0" w:afterAutospacing="0"/>
              <w:jc w:val="center"/>
              <w:rPr>
                <w:highlight w:val="none"/>
              </w:rPr>
            </w:pPr>
            <w:r>
              <w:rPr>
                <w:rFonts w:hint="eastAsia" w:ascii="宋体" w:hAnsi="宋体" w:eastAsia="宋体" w:cs="宋体"/>
                <w:color w:val="000000"/>
                <w:highlight w:val="none"/>
              </w:rPr>
              <w:t>超出、符合或偏离</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A084">
            <w:pPr>
              <w:pStyle w:val="12"/>
              <w:spacing w:beforeAutospacing="0" w:afterAutospacing="0"/>
              <w:jc w:val="center"/>
              <w:rPr>
                <w:highlight w:val="none"/>
              </w:rPr>
            </w:pPr>
            <w:r>
              <w:rPr>
                <w:rFonts w:hint="eastAsia" w:ascii="宋体" w:hAnsi="宋体" w:eastAsia="宋体" w:cs="宋体"/>
                <w:color w:val="000000"/>
                <w:highlight w:val="none"/>
              </w:rPr>
              <w:t>证明</w:t>
            </w:r>
          </w:p>
          <w:p w14:paraId="2F594D16">
            <w:pPr>
              <w:pStyle w:val="12"/>
              <w:spacing w:beforeAutospacing="0" w:afterAutospacing="0"/>
              <w:jc w:val="center"/>
              <w:rPr>
                <w:highlight w:val="none"/>
              </w:rPr>
            </w:pPr>
            <w:r>
              <w:rPr>
                <w:rFonts w:hint="eastAsia" w:ascii="宋体" w:hAnsi="宋体" w:eastAsia="宋体" w:cs="宋体"/>
                <w:color w:val="000000"/>
                <w:highlight w:val="none"/>
              </w:rPr>
              <w:t>材料</w:t>
            </w:r>
          </w:p>
        </w:tc>
      </w:tr>
      <w:tr w14:paraId="5FD32B0A">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73BBD">
            <w:pPr>
              <w:pStyle w:val="12"/>
              <w:spacing w:beforeAutospacing="0" w:afterAutospacing="0"/>
              <w:jc w:val="center"/>
              <w:rPr>
                <w:rFonts w:hint="eastAsia" w:ascii="宋体" w:hAnsi="宋体" w:eastAsia="宋体" w:cs="宋体"/>
                <w:color w:val="000000"/>
                <w:highlight w:val="none"/>
              </w:rPr>
            </w:pPr>
          </w:p>
          <w:p w14:paraId="6EB2C012">
            <w:pPr>
              <w:pStyle w:val="12"/>
              <w:spacing w:beforeAutospacing="0" w:afterAutospacing="0"/>
              <w:jc w:val="center"/>
              <w:rPr>
                <w:rFonts w:hint="eastAsia" w:ascii="宋体" w:hAnsi="宋体" w:eastAsia="宋体" w:cs="宋体"/>
                <w:color w:val="00000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D41E">
            <w:pPr>
              <w:pStyle w:val="12"/>
              <w:spacing w:beforeAutospacing="0" w:afterAutospacing="0"/>
              <w:jc w:val="center"/>
              <w:rPr>
                <w:rFonts w:hint="eastAsia" w:ascii="宋体" w:hAnsi="宋体" w:eastAsia="宋体" w:cs="宋体"/>
                <w:color w:val="000000"/>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DFCA">
            <w:pPr>
              <w:pStyle w:val="12"/>
              <w:spacing w:beforeAutospacing="0" w:afterAutospacing="0"/>
              <w:jc w:val="center"/>
              <w:rPr>
                <w:rFonts w:hint="eastAsia" w:ascii="宋体" w:hAnsi="宋体" w:eastAsia="宋体" w:cs="宋体"/>
                <w:color w:val="000000"/>
                <w:highlight w:val="none"/>
              </w:rPr>
            </w:pP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2A6D">
            <w:pPr>
              <w:pStyle w:val="12"/>
              <w:spacing w:beforeAutospacing="0" w:afterAutospacing="0"/>
              <w:jc w:val="center"/>
              <w:rPr>
                <w:rFonts w:hint="eastAsia" w:ascii="宋体" w:hAnsi="宋体" w:eastAsia="宋体" w:cs="宋体"/>
                <w:color w:val="000000"/>
                <w:highlight w:val="none"/>
              </w:rPr>
            </w:pP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320E1">
            <w:pPr>
              <w:pStyle w:val="12"/>
              <w:spacing w:beforeAutospacing="0" w:afterAutospacing="0"/>
              <w:jc w:val="center"/>
              <w:rPr>
                <w:rFonts w:hint="eastAsia" w:ascii="宋体" w:hAnsi="宋体" w:eastAsia="宋体" w:cs="宋体"/>
                <w:color w:val="000000"/>
                <w:highlight w:val="none"/>
              </w:rPr>
            </w:pPr>
          </w:p>
        </w:tc>
      </w:tr>
      <w:tr w14:paraId="6B28EFCE">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B85EC">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1D29">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C4AD">
            <w:pPr>
              <w:pStyle w:val="12"/>
              <w:spacing w:beforeAutospacing="0" w:afterAutospacing="0"/>
              <w:jc w:val="center"/>
              <w:rPr>
                <w:highlight w:val="none"/>
              </w:rPr>
            </w:pPr>
            <w:r>
              <w:rPr>
                <w:highlight w:val="none"/>
              </w:rPr>
              <w:t> </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FF40B">
            <w:pPr>
              <w:pStyle w:val="12"/>
              <w:spacing w:beforeAutospacing="0" w:afterAutospacing="0"/>
              <w:jc w:val="center"/>
              <w:rPr>
                <w:highlight w:val="none"/>
              </w:rPr>
            </w:pPr>
            <w:r>
              <w:rPr>
                <w:highlight w:val="none"/>
              </w:rPr>
              <w:t> </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7A413">
            <w:pPr>
              <w:pStyle w:val="12"/>
              <w:spacing w:beforeAutospacing="0" w:afterAutospacing="0"/>
              <w:jc w:val="center"/>
              <w:rPr>
                <w:highlight w:val="none"/>
              </w:rPr>
            </w:pPr>
            <w:r>
              <w:rPr>
                <w:highlight w:val="none"/>
              </w:rPr>
              <w:t> </w:t>
            </w:r>
          </w:p>
        </w:tc>
      </w:tr>
      <w:tr w14:paraId="25220C58">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48D7">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3A73">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2464">
            <w:pPr>
              <w:pStyle w:val="12"/>
              <w:spacing w:beforeAutospacing="0" w:afterAutospacing="0"/>
              <w:jc w:val="center"/>
              <w:rPr>
                <w:highlight w:val="none"/>
              </w:rPr>
            </w:pPr>
            <w:r>
              <w:rPr>
                <w:highlight w:val="none"/>
              </w:rPr>
              <w:t> </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7450">
            <w:pPr>
              <w:pStyle w:val="12"/>
              <w:spacing w:beforeAutospacing="0" w:afterAutospacing="0"/>
              <w:jc w:val="center"/>
              <w:rPr>
                <w:highlight w:val="none"/>
              </w:rPr>
            </w:pPr>
            <w:r>
              <w:rPr>
                <w:highlight w:val="none"/>
              </w:rPr>
              <w:t> </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335E">
            <w:pPr>
              <w:pStyle w:val="12"/>
              <w:spacing w:beforeAutospacing="0" w:afterAutospacing="0"/>
              <w:jc w:val="center"/>
              <w:rPr>
                <w:highlight w:val="none"/>
              </w:rPr>
            </w:pPr>
            <w:r>
              <w:rPr>
                <w:highlight w:val="none"/>
              </w:rPr>
              <w:t> </w:t>
            </w:r>
          </w:p>
        </w:tc>
      </w:tr>
      <w:tr w14:paraId="5BFDC3B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84740">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4A245">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F4A2">
            <w:pPr>
              <w:pStyle w:val="12"/>
              <w:spacing w:beforeAutospacing="0" w:afterAutospacing="0"/>
              <w:jc w:val="center"/>
              <w:rPr>
                <w:highlight w:val="none"/>
              </w:rPr>
            </w:pPr>
            <w:r>
              <w:rPr>
                <w:highlight w:val="none"/>
              </w:rPr>
              <w:t> </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E09F">
            <w:pPr>
              <w:pStyle w:val="12"/>
              <w:spacing w:beforeAutospacing="0" w:afterAutospacing="0"/>
              <w:jc w:val="center"/>
              <w:rPr>
                <w:highlight w:val="none"/>
              </w:rPr>
            </w:pPr>
            <w:r>
              <w:rPr>
                <w:highlight w:val="none"/>
              </w:rPr>
              <w:t> </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2B05">
            <w:pPr>
              <w:pStyle w:val="12"/>
              <w:spacing w:beforeAutospacing="0" w:afterAutospacing="0"/>
              <w:jc w:val="center"/>
              <w:rPr>
                <w:highlight w:val="none"/>
              </w:rPr>
            </w:pPr>
            <w:r>
              <w:rPr>
                <w:highlight w:val="none"/>
              </w:rPr>
              <w:t> </w:t>
            </w:r>
          </w:p>
        </w:tc>
      </w:tr>
      <w:tr w14:paraId="56E238D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E14F2">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9DF06">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C062">
            <w:pPr>
              <w:pStyle w:val="12"/>
              <w:spacing w:beforeAutospacing="0" w:afterAutospacing="0"/>
              <w:jc w:val="center"/>
              <w:rPr>
                <w:highlight w:val="none"/>
              </w:rPr>
            </w:pPr>
            <w:r>
              <w:rPr>
                <w:highlight w:val="none"/>
              </w:rPr>
              <w:t> </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6D2BF">
            <w:pPr>
              <w:pStyle w:val="12"/>
              <w:spacing w:beforeAutospacing="0" w:afterAutospacing="0"/>
              <w:jc w:val="center"/>
              <w:rPr>
                <w:highlight w:val="none"/>
              </w:rPr>
            </w:pPr>
            <w:r>
              <w:rPr>
                <w:highlight w:val="none"/>
              </w:rPr>
              <w:t> </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EF772">
            <w:pPr>
              <w:pStyle w:val="12"/>
              <w:spacing w:beforeAutospacing="0" w:afterAutospacing="0"/>
              <w:jc w:val="center"/>
              <w:rPr>
                <w:highlight w:val="none"/>
              </w:rPr>
            </w:pPr>
            <w:r>
              <w:rPr>
                <w:highlight w:val="none"/>
              </w:rPr>
              <w:t> </w:t>
            </w:r>
          </w:p>
        </w:tc>
      </w:tr>
      <w:tr w14:paraId="7C0F963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860E1">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6760">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FF004">
            <w:pPr>
              <w:pStyle w:val="12"/>
              <w:spacing w:beforeAutospacing="0" w:afterAutospacing="0"/>
              <w:jc w:val="center"/>
              <w:rPr>
                <w:highlight w:val="none"/>
              </w:rPr>
            </w:pPr>
            <w:r>
              <w:rPr>
                <w:highlight w:val="none"/>
              </w:rPr>
              <w:t> </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47E4">
            <w:pPr>
              <w:pStyle w:val="12"/>
              <w:spacing w:beforeAutospacing="0" w:afterAutospacing="0"/>
              <w:jc w:val="center"/>
              <w:rPr>
                <w:highlight w:val="none"/>
              </w:rPr>
            </w:pPr>
            <w:r>
              <w:rPr>
                <w:highlight w:val="none"/>
              </w:rPr>
              <w:t> </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FDD4">
            <w:pPr>
              <w:pStyle w:val="12"/>
              <w:spacing w:beforeAutospacing="0" w:afterAutospacing="0"/>
              <w:jc w:val="center"/>
              <w:rPr>
                <w:highlight w:val="none"/>
              </w:rPr>
            </w:pPr>
            <w:r>
              <w:rPr>
                <w:highlight w:val="none"/>
              </w:rPr>
              <w:t> </w:t>
            </w:r>
          </w:p>
        </w:tc>
      </w:tr>
      <w:tr w14:paraId="5074B44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DB5F">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B96A">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EE6F">
            <w:pPr>
              <w:pStyle w:val="12"/>
              <w:spacing w:beforeAutospacing="0" w:afterAutospacing="0"/>
              <w:jc w:val="center"/>
              <w:rPr>
                <w:highlight w:val="none"/>
              </w:rPr>
            </w:pPr>
            <w:r>
              <w:rPr>
                <w:highlight w:val="none"/>
              </w:rPr>
              <w:t> </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B757">
            <w:pPr>
              <w:pStyle w:val="12"/>
              <w:spacing w:beforeAutospacing="0" w:afterAutospacing="0"/>
              <w:jc w:val="center"/>
              <w:rPr>
                <w:highlight w:val="none"/>
              </w:rPr>
            </w:pPr>
            <w:r>
              <w:rPr>
                <w:highlight w:val="none"/>
              </w:rPr>
              <w:t> </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A6D9E">
            <w:pPr>
              <w:pStyle w:val="12"/>
              <w:spacing w:beforeAutospacing="0" w:afterAutospacing="0"/>
              <w:jc w:val="center"/>
              <w:rPr>
                <w:highlight w:val="none"/>
              </w:rPr>
            </w:pPr>
            <w:r>
              <w:rPr>
                <w:highlight w:val="none"/>
              </w:rPr>
              <w:t> </w:t>
            </w:r>
          </w:p>
        </w:tc>
      </w:tr>
      <w:tr w14:paraId="3E65AEC5">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9C93">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A937A">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7D1A">
            <w:pPr>
              <w:pStyle w:val="12"/>
              <w:spacing w:beforeAutospacing="0" w:afterAutospacing="0"/>
              <w:jc w:val="center"/>
              <w:rPr>
                <w:highlight w:val="none"/>
              </w:rPr>
            </w:pPr>
            <w:r>
              <w:rPr>
                <w:highlight w:val="none"/>
              </w:rPr>
              <w:t> </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459EF">
            <w:pPr>
              <w:pStyle w:val="12"/>
              <w:spacing w:beforeAutospacing="0" w:afterAutospacing="0"/>
              <w:jc w:val="center"/>
              <w:rPr>
                <w:highlight w:val="none"/>
              </w:rPr>
            </w:pPr>
            <w:r>
              <w:rPr>
                <w:highlight w:val="none"/>
              </w:rPr>
              <w:t> </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A26C">
            <w:pPr>
              <w:pStyle w:val="12"/>
              <w:spacing w:beforeAutospacing="0" w:afterAutospacing="0"/>
              <w:jc w:val="center"/>
              <w:rPr>
                <w:highlight w:val="none"/>
              </w:rPr>
            </w:pPr>
            <w:r>
              <w:rPr>
                <w:highlight w:val="none"/>
              </w:rPr>
              <w:t> </w:t>
            </w:r>
          </w:p>
        </w:tc>
      </w:tr>
      <w:tr w14:paraId="1C7DBF3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AB41E">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E60D">
            <w:pPr>
              <w:pStyle w:val="12"/>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15DE9">
            <w:pPr>
              <w:pStyle w:val="12"/>
              <w:spacing w:beforeAutospacing="0" w:afterAutospacing="0"/>
              <w:jc w:val="center"/>
              <w:rPr>
                <w:highlight w:val="none"/>
              </w:rPr>
            </w:pPr>
            <w:r>
              <w:rPr>
                <w:highlight w:val="none"/>
              </w:rPr>
              <w:t> </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B6221">
            <w:pPr>
              <w:pStyle w:val="12"/>
              <w:spacing w:beforeAutospacing="0" w:afterAutospacing="0"/>
              <w:jc w:val="center"/>
              <w:rPr>
                <w:highlight w:val="none"/>
              </w:rPr>
            </w:pPr>
            <w:r>
              <w:rPr>
                <w:highlight w:val="none"/>
              </w:rPr>
              <w:t> </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13EE">
            <w:pPr>
              <w:pStyle w:val="12"/>
              <w:spacing w:beforeAutospacing="0" w:afterAutospacing="0"/>
              <w:jc w:val="center"/>
              <w:rPr>
                <w:highlight w:val="none"/>
              </w:rPr>
            </w:pPr>
            <w:r>
              <w:rPr>
                <w:highlight w:val="none"/>
              </w:rPr>
              <w:t> </w:t>
            </w:r>
          </w:p>
        </w:tc>
      </w:tr>
    </w:tbl>
    <w:p w14:paraId="7F8228E3">
      <w:pPr>
        <w:pStyle w:val="12"/>
        <w:numPr>
          <w:ilvl w:val="0"/>
          <w:numId w:val="0"/>
        </w:numPr>
        <w:spacing w:beforeAutospacing="0" w:afterAutospacing="0"/>
        <w:ind w:leftChars="0"/>
        <w:jc w:val="both"/>
        <w:rPr>
          <w:rFonts w:hint="eastAsia" w:ascii="黑体" w:hAnsi="宋体" w:eastAsia="黑体" w:cs="黑体"/>
          <w:b/>
          <w:color w:val="000000"/>
          <w:sz w:val="32"/>
          <w:szCs w:val="32"/>
          <w:highlight w:val="none"/>
        </w:rPr>
      </w:pPr>
    </w:p>
    <w:p w14:paraId="72F5297B">
      <w:pPr>
        <w:pStyle w:val="12"/>
        <w:spacing w:beforeAutospacing="0" w:afterAutospacing="0"/>
        <w:jc w:val="both"/>
        <w:rPr>
          <w:highlight w:val="none"/>
        </w:rPr>
      </w:pPr>
      <w:r>
        <w:rPr>
          <w:rFonts w:hint="eastAsia" w:ascii="宋体" w:hAnsi="宋体" w:eastAsia="宋体" w:cs="宋体"/>
          <w:color w:val="000000"/>
          <w:highlight w:val="none"/>
        </w:rPr>
        <w:t>注： 行数不够，可自行添加。</w:t>
      </w:r>
    </w:p>
    <w:p w14:paraId="7D76B506">
      <w:pPr>
        <w:pStyle w:val="12"/>
        <w:spacing w:beforeAutospacing="0" w:afterAutospacing="0" w:line="480" w:lineRule="auto"/>
        <w:jc w:val="both"/>
        <w:rPr>
          <w:highlight w:val="none"/>
        </w:rPr>
      </w:pPr>
      <w:r>
        <w:rPr>
          <w:highlight w:val="none"/>
        </w:rPr>
        <w:t> </w:t>
      </w:r>
    </w:p>
    <w:p w14:paraId="55CA87F7">
      <w:pPr>
        <w:pStyle w:val="12"/>
        <w:spacing w:beforeAutospacing="0" w:afterAutospacing="0" w:line="480" w:lineRule="auto"/>
        <w:jc w:val="both"/>
        <w:rPr>
          <w:highlight w:val="none"/>
        </w:rPr>
      </w:pPr>
      <w:r>
        <w:rPr>
          <w:highlight w:val="none"/>
        </w:rPr>
        <w:t> </w:t>
      </w:r>
    </w:p>
    <w:p w14:paraId="09BB21B8">
      <w:pPr>
        <w:pStyle w:val="12"/>
        <w:spacing w:beforeAutospacing="0" w:afterAutospacing="0"/>
        <w:jc w:val="center"/>
        <w:rPr>
          <w:highlight w:val="none"/>
        </w:rPr>
      </w:pPr>
      <w:bookmarkStart w:id="183" w:name="_Hlt26609389"/>
      <w:bookmarkStart w:id="184" w:name="_Hlt26955066"/>
      <w:bookmarkStart w:id="185" w:name="_格式2__法定代表人授权书"/>
      <w:bookmarkStart w:id="186" w:name="_Hlt26671374"/>
      <w:bookmarkStart w:id="187" w:name="_Toc462564146"/>
      <w:r>
        <w:rPr>
          <w:highlight w:val="none"/>
        </w:rPr>
        <w:t> </w:t>
      </w:r>
    </w:p>
    <w:p w14:paraId="44E1DEF6">
      <w:pPr>
        <w:pStyle w:val="12"/>
        <w:spacing w:beforeAutospacing="0" w:afterAutospacing="0"/>
        <w:jc w:val="center"/>
        <w:rPr>
          <w:highlight w:val="none"/>
        </w:rPr>
      </w:pPr>
      <w:r>
        <w:rPr>
          <w:highlight w:val="none"/>
        </w:rPr>
        <w:t> </w:t>
      </w:r>
    </w:p>
    <w:p w14:paraId="1169076F">
      <w:pPr>
        <w:pStyle w:val="12"/>
        <w:spacing w:beforeAutospacing="0" w:afterAutospacing="0"/>
        <w:jc w:val="center"/>
        <w:rPr>
          <w:highlight w:val="none"/>
        </w:rPr>
      </w:pPr>
      <w:r>
        <w:rPr>
          <w:highlight w:val="none"/>
        </w:rPr>
        <w:t> </w:t>
      </w:r>
    </w:p>
    <w:p w14:paraId="05F6A496">
      <w:pPr>
        <w:pStyle w:val="12"/>
        <w:spacing w:beforeAutospacing="0" w:afterAutospacing="0"/>
        <w:jc w:val="center"/>
        <w:rPr>
          <w:highlight w:val="none"/>
        </w:rPr>
      </w:pPr>
      <w:r>
        <w:rPr>
          <w:highlight w:val="none"/>
        </w:rPr>
        <w:t> </w:t>
      </w:r>
    </w:p>
    <w:p w14:paraId="0CA17605">
      <w:pPr>
        <w:pStyle w:val="12"/>
        <w:spacing w:beforeAutospacing="0" w:afterAutospacing="0"/>
        <w:jc w:val="center"/>
        <w:rPr>
          <w:highlight w:val="none"/>
        </w:rPr>
      </w:pPr>
      <w:r>
        <w:rPr>
          <w:highlight w:val="none"/>
        </w:rPr>
        <w:t> </w:t>
      </w:r>
    </w:p>
    <w:p w14:paraId="0F9F9845">
      <w:pPr>
        <w:pStyle w:val="12"/>
        <w:spacing w:beforeAutospacing="0" w:afterAutospacing="0"/>
        <w:jc w:val="center"/>
        <w:rPr>
          <w:highlight w:val="none"/>
        </w:rPr>
      </w:pPr>
      <w:r>
        <w:rPr>
          <w:highlight w:val="none"/>
        </w:rPr>
        <w:t> </w:t>
      </w:r>
    </w:p>
    <w:p w14:paraId="6AB78516">
      <w:pPr>
        <w:pStyle w:val="12"/>
        <w:spacing w:beforeAutospacing="0" w:afterAutospacing="0"/>
        <w:jc w:val="center"/>
        <w:rPr>
          <w:highlight w:val="none"/>
        </w:rPr>
      </w:pPr>
    </w:p>
    <w:p w14:paraId="1B596214">
      <w:pPr>
        <w:pStyle w:val="12"/>
        <w:spacing w:beforeAutospacing="0" w:afterAutospacing="0"/>
        <w:jc w:val="center"/>
        <w:rPr>
          <w:highlight w:val="none"/>
        </w:rPr>
      </w:pPr>
    </w:p>
    <w:p w14:paraId="27ED14E9">
      <w:pPr>
        <w:pStyle w:val="12"/>
        <w:spacing w:beforeAutospacing="0" w:afterAutospacing="0"/>
        <w:jc w:val="center"/>
        <w:rPr>
          <w:highlight w:val="none"/>
        </w:rPr>
      </w:pPr>
    </w:p>
    <w:p w14:paraId="71ECEF7A">
      <w:pPr>
        <w:pStyle w:val="12"/>
        <w:spacing w:beforeAutospacing="0" w:afterAutospacing="0"/>
        <w:jc w:val="center"/>
        <w:rPr>
          <w:highlight w:val="none"/>
        </w:rPr>
      </w:pPr>
    </w:p>
    <w:p w14:paraId="2635429C">
      <w:pPr>
        <w:pStyle w:val="12"/>
        <w:spacing w:beforeAutospacing="0" w:afterAutospacing="0"/>
        <w:jc w:val="center"/>
        <w:rPr>
          <w:highlight w:val="none"/>
        </w:rPr>
      </w:pPr>
    </w:p>
    <w:p w14:paraId="1130F238">
      <w:pPr>
        <w:pStyle w:val="12"/>
        <w:spacing w:beforeAutospacing="0" w:afterAutospacing="0"/>
        <w:jc w:val="center"/>
        <w:rPr>
          <w:highlight w:val="none"/>
        </w:rPr>
      </w:pPr>
      <w:r>
        <w:rPr>
          <w:highlight w:val="none"/>
        </w:rPr>
        <w:t> </w:t>
      </w:r>
    </w:p>
    <w:p w14:paraId="58D06506">
      <w:pPr>
        <w:pStyle w:val="12"/>
        <w:spacing w:beforeAutospacing="0" w:afterAutospacing="0"/>
        <w:jc w:val="center"/>
        <w:rPr>
          <w:highlight w:val="none"/>
          <w:shd w:val="clear" w:color="auto" w:fill="auto"/>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五</w:t>
      </w:r>
      <w:r>
        <w:rPr>
          <w:rFonts w:hint="eastAsia" w:ascii="黑体" w:hAnsi="宋体" w:eastAsia="黑体" w:cs="黑体"/>
          <w:b/>
          <w:i/>
          <w:color w:val="000000"/>
          <w:sz w:val="32"/>
          <w:szCs w:val="32"/>
          <w:highlight w:val="none"/>
          <w:u w:val="single"/>
        </w:rPr>
        <w:t>、开标一览表</w:t>
      </w:r>
    </w:p>
    <w:p w14:paraId="507CF38A">
      <w:pPr>
        <w:pStyle w:val="12"/>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444B2C54">
      <w:pPr>
        <w:pStyle w:val="12"/>
        <w:spacing w:beforeAutospacing="0" w:afterAutospacing="0"/>
        <w:ind w:firstLine="480"/>
        <w:jc w:val="both"/>
        <w:rPr>
          <w:highlight w:val="none"/>
        </w:rPr>
      </w:pPr>
      <w:r>
        <w:rPr>
          <w:rFonts w:hint="eastAsia" w:ascii="宋体" w:hAnsi="宋体" w:eastAsia="宋体" w:cs="宋体"/>
          <w:color w:val="000000"/>
          <w:highlight w:val="none"/>
        </w:rPr>
        <w:t>项目名称：</w:t>
      </w:r>
    </w:p>
    <w:p w14:paraId="3113AB31">
      <w:pPr>
        <w:pStyle w:val="12"/>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 xml:space="preserve">编号：  </w:t>
      </w:r>
    </w:p>
    <w:tbl>
      <w:tblPr>
        <w:tblStyle w:val="14"/>
        <w:tblW w:w="8414" w:type="dxa"/>
        <w:tblCellSpacing w:w="0" w:type="dxa"/>
        <w:tblInd w:w="118" w:type="dxa"/>
        <w:tblLayout w:type="fixed"/>
        <w:tblCellMar>
          <w:top w:w="0" w:type="dxa"/>
          <w:left w:w="108" w:type="dxa"/>
          <w:bottom w:w="0" w:type="dxa"/>
          <w:right w:w="108" w:type="dxa"/>
        </w:tblCellMar>
      </w:tblPr>
      <w:tblGrid>
        <w:gridCol w:w="8414"/>
      </w:tblGrid>
      <w:tr w14:paraId="7C49282D">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3BD5">
            <w:pPr>
              <w:pStyle w:val="12"/>
              <w:spacing w:beforeAutospacing="0" w:afterAutospacing="0"/>
              <w:jc w:val="center"/>
              <w:rPr>
                <w:highlight w:val="none"/>
              </w:rPr>
            </w:pPr>
            <w:r>
              <w:rPr>
                <w:rFonts w:hint="eastAsia" w:ascii="宋体" w:hAnsi="宋体" w:eastAsia="宋体" w:cs="宋体"/>
                <w:color w:val="000000"/>
                <w:highlight w:val="none"/>
              </w:rPr>
              <w:t>投标总报价</w:t>
            </w:r>
          </w:p>
        </w:tc>
      </w:tr>
      <w:tr w14:paraId="10824DA3">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C07EB">
            <w:pPr>
              <w:pStyle w:val="12"/>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大写：</w:t>
            </w:r>
          </w:p>
        </w:tc>
      </w:tr>
      <w:tr w14:paraId="6CC7DB7E">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8075">
            <w:pPr>
              <w:pStyle w:val="12"/>
              <w:spacing w:beforeAutospacing="0" w:afterAutospacing="0" w:line="0" w:lineRule="atLeast"/>
              <w:rPr>
                <w:highlight w:val="none"/>
              </w:rPr>
            </w:pPr>
            <w:r>
              <w:rPr>
                <w:rFonts w:hint="eastAsia" w:ascii="宋体" w:hAnsi="宋体" w:eastAsia="宋体" w:cs="宋体"/>
                <w:color w:val="000000"/>
                <w:highlight w:val="none"/>
              </w:rPr>
              <w:t>小写：                     （人民币：元）</w:t>
            </w:r>
          </w:p>
        </w:tc>
      </w:tr>
    </w:tbl>
    <w:p w14:paraId="36F9636D">
      <w:pPr>
        <w:pStyle w:val="12"/>
        <w:spacing w:beforeAutospacing="0" w:afterAutospacing="0"/>
        <w:jc w:val="both"/>
        <w:rPr>
          <w:highlight w:val="none"/>
        </w:rPr>
      </w:pPr>
      <w:r>
        <w:rPr>
          <w:highlight w:val="none"/>
        </w:rPr>
        <w:t> </w:t>
      </w:r>
    </w:p>
    <w:p w14:paraId="03B45158">
      <w:pPr>
        <w:pStyle w:val="12"/>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5B4437D5">
      <w:pPr>
        <w:pStyle w:val="12"/>
        <w:spacing w:beforeAutospacing="0" w:afterAutospacing="0"/>
        <w:ind w:firstLine="480"/>
        <w:jc w:val="both"/>
        <w:rPr>
          <w:highlight w:val="none"/>
        </w:rPr>
      </w:pPr>
      <w:r>
        <w:rPr>
          <w:highlight w:val="none"/>
        </w:rPr>
        <w:t> </w:t>
      </w:r>
    </w:p>
    <w:p w14:paraId="1AF856D5">
      <w:pPr>
        <w:pStyle w:val="12"/>
        <w:spacing w:beforeAutospacing="0" w:afterAutospacing="0"/>
        <w:ind w:firstLine="480"/>
        <w:jc w:val="both"/>
        <w:rPr>
          <w:highlight w:val="none"/>
        </w:rPr>
      </w:pPr>
      <w:r>
        <w:rPr>
          <w:highlight w:val="none"/>
        </w:rPr>
        <w:t> </w:t>
      </w:r>
    </w:p>
    <w:p w14:paraId="4CEC02F8">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6D8314BF">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4441F1EE">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7D2AEC63">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1DF180C4">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43DC89D4">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04C5FC8B">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31C9BB44">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00A5311F">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3E109A6E">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500EAAEA">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30F9F2DA">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743E87FF">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0804F888">
      <w:p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p>
    <w:p w14:paraId="6BD3739F">
      <w:pPr>
        <w:numPr>
          <w:ilvl w:val="0"/>
          <w:numId w:val="4"/>
        </w:numPr>
        <w:kinsoku/>
        <w:wordWrap w:val="0"/>
        <w:overflowPunct/>
        <w:topLinePunct w:val="0"/>
        <w:autoSpaceDE/>
        <w:autoSpaceDN/>
        <w:bidi w:val="0"/>
        <w:adjustRightInd/>
        <w:snapToGrid/>
        <w:ind w:firstLine="442"/>
        <w:jc w:val="center"/>
        <w:textAlignment w:val="auto"/>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t>盐城市政府采购事前信用承诺书</w:t>
      </w:r>
    </w:p>
    <w:p w14:paraId="3A1E0E5D">
      <w:pPr>
        <w:numPr>
          <w:ilvl w:val="0"/>
          <w:numId w:val="0"/>
        </w:numPr>
        <w:kinsoku/>
        <w:wordWrap w:val="0"/>
        <w:overflowPunct/>
        <w:topLinePunct w:val="0"/>
        <w:autoSpaceDE/>
        <w:autoSpaceDN/>
        <w:bidi w:val="0"/>
        <w:adjustRightInd/>
        <w:snapToGrid/>
        <w:ind w:firstLine="480" w:firstLineChars="200"/>
        <w:jc w:val="both"/>
        <w:textAlignment w:val="auto"/>
        <w:rPr>
          <w:color w:val="auto"/>
          <w:sz w:val="24"/>
          <w:szCs w:val="24"/>
        </w:rPr>
      </w:pPr>
      <w:r>
        <w:rPr>
          <w:rFonts w:hint="eastAsia"/>
          <w:color w:val="auto"/>
          <w:sz w:val="24"/>
          <w:szCs w:val="24"/>
        </w:rPr>
        <w:t>为营造我区公开、公平、公正、诚实守信的政府采购交易环境，树立诚信守法的供应商形象，本人代表本单位作出以下承诺：</w:t>
      </w:r>
    </w:p>
    <w:p w14:paraId="55E1F444">
      <w:pPr>
        <w:widowControl/>
        <w:kinsoku/>
        <w:wordWrap w:val="0"/>
        <w:overflowPunct/>
        <w:topLinePunct w:val="0"/>
        <w:autoSpaceDE/>
        <w:autoSpaceDN/>
        <w:bidi w:val="0"/>
        <w:adjustRightInd/>
        <w:snapToGrid/>
        <w:spacing w:line="500" w:lineRule="exact"/>
        <w:ind w:firstLine="480"/>
        <w:jc w:val="left"/>
        <w:textAlignment w:val="auto"/>
        <w:rPr>
          <w:color w:val="auto"/>
          <w:sz w:val="24"/>
          <w:szCs w:val="24"/>
        </w:rPr>
      </w:pPr>
      <w:r>
        <w:rPr>
          <w:rFonts w:hint="eastAsia"/>
          <w:color w:val="auto"/>
          <w:sz w:val="24"/>
          <w:szCs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4BBAD7E4">
      <w:pPr>
        <w:widowControl/>
        <w:kinsoku/>
        <w:wordWrap w:val="0"/>
        <w:overflowPunct/>
        <w:topLinePunct w:val="0"/>
        <w:autoSpaceDE/>
        <w:autoSpaceDN/>
        <w:bidi w:val="0"/>
        <w:adjustRightInd/>
        <w:snapToGrid/>
        <w:spacing w:line="500" w:lineRule="exact"/>
        <w:ind w:firstLine="480"/>
        <w:jc w:val="left"/>
        <w:textAlignment w:val="auto"/>
        <w:rPr>
          <w:color w:val="auto"/>
          <w:sz w:val="24"/>
          <w:szCs w:val="24"/>
        </w:rPr>
      </w:pPr>
      <w:r>
        <w:rPr>
          <w:rFonts w:hint="eastAsia"/>
          <w:color w:val="auto"/>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8A9F66B">
      <w:pPr>
        <w:widowControl/>
        <w:kinsoku/>
        <w:wordWrap w:val="0"/>
        <w:overflowPunct/>
        <w:topLinePunct w:val="0"/>
        <w:autoSpaceDE/>
        <w:autoSpaceDN/>
        <w:bidi w:val="0"/>
        <w:adjustRightInd/>
        <w:snapToGrid/>
        <w:spacing w:line="500" w:lineRule="exact"/>
        <w:ind w:firstLine="480"/>
        <w:jc w:val="left"/>
        <w:textAlignment w:val="auto"/>
        <w:rPr>
          <w:color w:val="auto"/>
          <w:sz w:val="24"/>
          <w:szCs w:val="24"/>
        </w:rPr>
      </w:pPr>
      <w:r>
        <w:rPr>
          <w:rFonts w:hint="eastAsia"/>
          <w:color w:val="auto"/>
          <w:sz w:val="24"/>
          <w:szCs w:val="24"/>
        </w:rPr>
        <w:t xml:space="preserve">（三）严格依照国家和省、市关于政府采购的法律、法规、规章、规范性文件，参加政府采购投标活动；积极履行社会责任，促进廉政建设； </w:t>
      </w:r>
    </w:p>
    <w:p w14:paraId="4AEE6B3A">
      <w:pPr>
        <w:widowControl/>
        <w:kinsoku/>
        <w:wordWrap w:val="0"/>
        <w:overflowPunct/>
        <w:topLinePunct w:val="0"/>
        <w:autoSpaceDE/>
        <w:autoSpaceDN/>
        <w:bidi w:val="0"/>
        <w:adjustRightInd/>
        <w:snapToGrid/>
        <w:spacing w:line="500" w:lineRule="exact"/>
        <w:ind w:firstLine="480"/>
        <w:jc w:val="left"/>
        <w:textAlignment w:val="auto"/>
        <w:rPr>
          <w:color w:val="auto"/>
          <w:sz w:val="24"/>
          <w:szCs w:val="24"/>
        </w:rPr>
      </w:pPr>
      <w:r>
        <w:rPr>
          <w:rFonts w:hint="eastAsia"/>
          <w:color w:val="auto"/>
          <w:sz w:val="24"/>
          <w:szCs w:val="24"/>
        </w:rPr>
        <w:t>（四）严格遵守即时信息公示规定，及时维护和更新维护和更新盐城市政府采购网中与本单位相关的信息；</w:t>
      </w:r>
    </w:p>
    <w:p w14:paraId="55C9E072">
      <w:pPr>
        <w:widowControl/>
        <w:kinsoku/>
        <w:wordWrap w:val="0"/>
        <w:overflowPunct/>
        <w:topLinePunct w:val="0"/>
        <w:autoSpaceDE/>
        <w:autoSpaceDN/>
        <w:bidi w:val="0"/>
        <w:adjustRightInd/>
        <w:snapToGrid/>
        <w:spacing w:line="500" w:lineRule="exact"/>
        <w:ind w:firstLine="480"/>
        <w:jc w:val="left"/>
        <w:textAlignment w:val="auto"/>
        <w:rPr>
          <w:color w:val="auto"/>
          <w:sz w:val="24"/>
          <w:szCs w:val="24"/>
        </w:rPr>
      </w:pPr>
      <w:r>
        <w:rPr>
          <w:rFonts w:hint="eastAsia"/>
          <w:color w:val="auto"/>
          <w:sz w:val="24"/>
          <w:szCs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75F50D1">
      <w:pPr>
        <w:widowControl/>
        <w:kinsoku/>
        <w:wordWrap w:val="0"/>
        <w:overflowPunct/>
        <w:topLinePunct w:val="0"/>
        <w:autoSpaceDE/>
        <w:autoSpaceDN/>
        <w:bidi w:val="0"/>
        <w:adjustRightInd/>
        <w:snapToGrid/>
        <w:spacing w:line="500" w:lineRule="exact"/>
        <w:ind w:firstLine="480"/>
        <w:jc w:val="left"/>
        <w:textAlignment w:val="auto"/>
        <w:rPr>
          <w:color w:val="auto"/>
          <w:sz w:val="24"/>
          <w:szCs w:val="24"/>
        </w:rPr>
      </w:pPr>
      <w:r>
        <w:rPr>
          <w:rFonts w:hint="eastAsia"/>
          <w:color w:val="auto"/>
          <w:sz w:val="24"/>
          <w:szCs w:val="24"/>
        </w:rPr>
        <w:t> （六）自觉接受政府、行业组织、社会公众、新闻舆论的监督；</w:t>
      </w:r>
    </w:p>
    <w:p w14:paraId="0B155AB3">
      <w:pPr>
        <w:widowControl/>
        <w:kinsoku/>
        <w:wordWrap w:val="0"/>
        <w:overflowPunct/>
        <w:topLinePunct w:val="0"/>
        <w:autoSpaceDE/>
        <w:autoSpaceDN/>
        <w:bidi w:val="0"/>
        <w:adjustRightInd/>
        <w:snapToGrid/>
        <w:spacing w:line="500" w:lineRule="exact"/>
        <w:ind w:firstLine="480"/>
        <w:jc w:val="left"/>
        <w:textAlignment w:val="auto"/>
        <w:rPr>
          <w:color w:val="auto"/>
          <w:sz w:val="24"/>
          <w:szCs w:val="24"/>
        </w:rPr>
      </w:pPr>
      <w:r>
        <w:rPr>
          <w:rFonts w:hint="eastAsia"/>
          <w:color w:val="auto"/>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C60A2AE">
      <w:pPr>
        <w:widowControl/>
        <w:kinsoku/>
        <w:wordWrap w:val="0"/>
        <w:overflowPunct/>
        <w:topLinePunct w:val="0"/>
        <w:autoSpaceDE/>
        <w:autoSpaceDN/>
        <w:bidi w:val="0"/>
        <w:adjustRightInd/>
        <w:snapToGrid/>
        <w:spacing w:line="500" w:lineRule="exact"/>
        <w:ind w:firstLine="480"/>
        <w:textAlignment w:val="auto"/>
        <w:rPr>
          <w:color w:val="auto"/>
          <w:sz w:val="24"/>
        </w:rPr>
      </w:pPr>
      <w:r>
        <w:rPr>
          <w:rFonts w:hint="eastAsia"/>
          <w:color w:val="auto"/>
          <w:sz w:val="24"/>
          <w:szCs w:val="24"/>
        </w:rPr>
        <w:t> （八）本人已认真阅读了上述承诺，并向本单位员工作了宣传教育。</w:t>
      </w:r>
    </w:p>
    <w:p w14:paraId="4EFEF5E6">
      <w:pPr>
        <w:widowControl/>
        <w:kinsoku/>
        <w:wordWrap w:val="0"/>
        <w:overflowPunct/>
        <w:topLinePunct w:val="0"/>
        <w:autoSpaceDE/>
        <w:autoSpaceDN/>
        <w:bidi w:val="0"/>
        <w:adjustRightInd/>
        <w:snapToGrid/>
        <w:spacing w:line="500" w:lineRule="exact"/>
        <w:ind w:firstLine="480"/>
        <w:textAlignment w:val="auto"/>
        <w:rPr>
          <w:color w:val="auto"/>
          <w:sz w:val="24"/>
        </w:rPr>
      </w:pPr>
    </w:p>
    <w:p w14:paraId="012D1FDA">
      <w:pPr>
        <w:widowControl/>
        <w:kinsoku/>
        <w:wordWrap w:val="0"/>
        <w:overflowPunct/>
        <w:topLinePunct w:val="0"/>
        <w:autoSpaceDE/>
        <w:autoSpaceDN/>
        <w:bidi w:val="0"/>
        <w:adjustRightInd/>
        <w:snapToGrid/>
        <w:spacing w:line="500" w:lineRule="exact"/>
        <w:ind w:firstLine="480"/>
        <w:jc w:val="right"/>
        <w:textAlignment w:val="auto"/>
        <w:rPr>
          <w:color w:val="auto"/>
          <w:sz w:val="24"/>
        </w:rPr>
      </w:pPr>
      <w:r>
        <w:rPr>
          <w:rFonts w:hint="eastAsia"/>
          <w:color w:val="auto"/>
          <w:sz w:val="24"/>
        </w:rPr>
        <w:t xml:space="preserve">   法定代表人（签名）：          </w:t>
      </w:r>
    </w:p>
    <w:p w14:paraId="0BE7FDEE">
      <w:pPr>
        <w:widowControl/>
        <w:kinsoku/>
        <w:wordWrap w:val="0"/>
        <w:overflowPunct/>
        <w:topLinePunct w:val="0"/>
        <w:autoSpaceDE/>
        <w:autoSpaceDN/>
        <w:bidi w:val="0"/>
        <w:adjustRightInd/>
        <w:snapToGrid/>
        <w:spacing w:line="500" w:lineRule="exact"/>
        <w:ind w:firstLine="480"/>
        <w:jc w:val="right"/>
        <w:textAlignment w:val="auto"/>
        <w:rPr>
          <w:color w:val="auto"/>
          <w:sz w:val="24"/>
        </w:rPr>
      </w:pPr>
      <w:r>
        <w:rPr>
          <w:rFonts w:hint="eastAsia"/>
          <w:color w:val="auto"/>
          <w:sz w:val="24"/>
        </w:rPr>
        <w:t xml:space="preserve">单位名称（盖章）：          </w:t>
      </w:r>
    </w:p>
    <w:p w14:paraId="42EAF654">
      <w:pPr>
        <w:widowControl/>
        <w:kinsoku/>
        <w:wordWrap w:val="0"/>
        <w:overflowPunct/>
        <w:topLinePunct w:val="0"/>
        <w:autoSpaceDE/>
        <w:autoSpaceDN/>
        <w:bidi w:val="0"/>
        <w:adjustRightInd/>
        <w:snapToGrid/>
        <w:spacing w:line="500" w:lineRule="exact"/>
        <w:ind w:firstLine="480"/>
        <w:jc w:val="right"/>
        <w:textAlignment w:val="auto"/>
        <w:rPr>
          <w:rFonts w:hint="eastAsia"/>
          <w:color w:val="auto"/>
          <w:sz w:val="24"/>
        </w:rPr>
      </w:pPr>
      <w:r>
        <w:rPr>
          <w:rFonts w:hint="eastAsia"/>
          <w:color w:val="auto"/>
          <w:sz w:val="24"/>
        </w:rPr>
        <w:t>年   月   日</w:t>
      </w:r>
    </w:p>
    <w:p w14:paraId="4D6E4BA1">
      <w:pPr>
        <w:widowControl/>
        <w:kinsoku/>
        <w:wordWrap/>
        <w:overflowPunct/>
        <w:topLinePunct w:val="0"/>
        <w:autoSpaceDE/>
        <w:autoSpaceDN/>
        <w:bidi w:val="0"/>
        <w:adjustRightInd/>
        <w:snapToGrid/>
        <w:spacing w:line="500" w:lineRule="exact"/>
        <w:ind w:firstLine="480"/>
        <w:jc w:val="right"/>
        <w:textAlignment w:val="auto"/>
        <w:rPr>
          <w:rFonts w:hint="eastAsia"/>
          <w:color w:val="auto"/>
          <w:sz w:val="24"/>
        </w:rPr>
      </w:pPr>
    </w:p>
    <w:p w14:paraId="6D5B4868">
      <w:pPr>
        <w:pStyle w:val="12"/>
        <w:spacing w:beforeAutospacing="0" w:afterAutospacing="0"/>
        <w:ind w:firstLine="480"/>
        <w:jc w:val="both"/>
        <w:rPr>
          <w:highlight w:val="none"/>
        </w:rPr>
      </w:pPr>
    </w:p>
    <w:p w14:paraId="2695CAC7">
      <w:pPr>
        <w:widowControl/>
        <w:numPr>
          <w:ilvl w:val="0"/>
          <w:numId w:val="5"/>
        </w:numPr>
        <w:spacing w:before="50" w:after="50"/>
        <w:ind w:left="469" w:leftChars="0" w:firstLine="0" w:firstLineChars="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t>根据招标文件“第五章 定标原则与评标标准”的要求需要提供的材料及投标人认为有必要提供的其他材料</w:t>
      </w:r>
    </w:p>
    <w:p w14:paraId="143DDAAE">
      <w:pPr>
        <w:widowControl/>
        <w:numPr>
          <w:ilvl w:val="0"/>
          <w:numId w:val="0"/>
        </w:numPr>
        <w:spacing w:before="50" w:after="50"/>
        <w:jc w:val="center"/>
        <w:rPr>
          <w:rFonts w:hint="eastAsia" w:ascii="黑体" w:hAnsi="黑体" w:eastAsia="黑体" w:cs="黑体"/>
          <w:i/>
          <w:color w:val="auto"/>
          <w:sz w:val="32"/>
          <w:szCs w:val="32"/>
          <w:u w:val="single"/>
        </w:rPr>
      </w:pPr>
    </w:p>
    <w:p w14:paraId="745E77EC">
      <w:pPr>
        <w:widowControl/>
        <w:numPr>
          <w:ilvl w:val="0"/>
          <w:numId w:val="0"/>
        </w:numPr>
        <w:spacing w:before="50" w:after="50"/>
        <w:jc w:val="center"/>
        <w:rPr>
          <w:rFonts w:hint="eastAsia" w:ascii="黑体" w:hAnsi="黑体" w:eastAsia="黑体" w:cs="黑体"/>
          <w:i/>
          <w:color w:val="auto"/>
          <w:sz w:val="32"/>
          <w:szCs w:val="32"/>
          <w:u w:val="single"/>
        </w:rPr>
      </w:pPr>
    </w:p>
    <w:p w14:paraId="72026A53">
      <w:pPr>
        <w:widowControl/>
        <w:numPr>
          <w:ilvl w:val="0"/>
          <w:numId w:val="0"/>
        </w:numPr>
        <w:spacing w:before="50" w:after="50"/>
        <w:jc w:val="center"/>
        <w:rPr>
          <w:rFonts w:hint="eastAsia" w:ascii="黑体" w:hAnsi="黑体" w:eastAsia="黑体" w:cs="黑体"/>
          <w:i/>
          <w:color w:val="auto"/>
          <w:sz w:val="32"/>
          <w:szCs w:val="32"/>
          <w:u w:val="single"/>
        </w:rPr>
      </w:pPr>
    </w:p>
    <w:p w14:paraId="57CAB12F">
      <w:pPr>
        <w:widowControl/>
        <w:numPr>
          <w:ilvl w:val="0"/>
          <w:numId w:val="0"/>
        </w:numPr>
        <w:spacing w:before="50" w:after="50"/>
        <w:jc w:val="center"/>
        <w:rPr>
          <w:rFonts w:hint="eastAsia" w:ascii="黑体" w:hAnsi="黑体" w:eastAsia="黑体" w:cs="黑体"/>
          <w:i/>
          <w:color w:val="auto"/>
          <w:sz w:val="32"/>
          <w:szCs w:val="32"/>
          <w:u w:val="single"/>
        </w:rPr>
      </w:pPr>
    </w:p>
    <w:p w14:paraId="5BC8F4AA">
      <w:pPr>
        <w:widowControl/>
        <w:numPr>
          <w:ilvl w:val="0"/>
          <w:numId w:val="0"/>
        </w:numPr>
        <w:spacing w:before="50" w:after="50"/>
        <w:jc w:val="center"/>
        <w:rPr>
          <w:rFonts w:hint="eastAsia" w:ascii="黑体" w:hAnsi="黑体" w:eastAsia="黑体" w:cs="黑体"/>
          <w:i/>
          <w:color w:val="auto"/>
          <w:sz w:val="32"/>
          <w:szCs w:val="32"/>
          <w:u w:val="single"/>
        </w:rPr>
      </w:pPr>
    </w:p>
    <w:p w14:paraId="5564AA61">
      <w:pPr>
        <w:pStyle w:val="7"/>
        <w:rPr>
          <w:rFonts w:hint="eastAsia" w:ascii="黑体" w:hAnsi="黑体" w:eastAsia="黑体" w:cs="黑体"/>
          <w:i/>
          <w:color w:val="auto"/>
          <w:sz w:val="32"/>
          <w:szCs w:val="32"/>
          <w:u w:val="single"/>
        </w:rPr>
      </w:pPr>
    </w:p>
    <w:p w14:paraId="2E2C4A53">
      <w:pPr>
        <w:pStyle w:val="7"/>
        <w:rPr>
          <w:rFonts w:hint="eastAsia" w:ascii="黑体" w:hAnsi="黑体" w:eastAsia="黑体" w:cs="黑体"/>
          <w:i/>
          <w:color w:val="auto"/>
          <w:sz w:val="32"/>
          <w:szCs w:val="32"/>
          <w:u w:val="single"/>
        </w:rPr>
      </w:pPr>
    </w:p>
    <w:p w14:paraId="079B8945">
      <w:pPr>
        <w:pStyle w:val="7"/>
        <w:rPr>
          <w:rFonts w:hint="eastAsia" w:ascii="黑体" w:hAnsi="黑体" w:eastAsia="黑体" w:cs="黑体"/>
          <w:i/>
          <w:color w:val="auto"/>
          <w:sz w:val="32"/>
          <w:szCs w:val="32"/>
          <w:u w:val="single"/>
        </w:rPr>
      </w:pPr>
    </w:p>
    <w:p w14:paraId="2A04C5A2">
      <w:pPr>
        <w:pStyle w:val="7"/>
        <w:rPr>
          <w:rFonts w:hint="eastAsia" w:ascii="黑体" w:hAnsi="黑体" w:eastAsia="黑体" w:cs="黑体"/>
          <w:i/>
          <w:color w:val="auto"/>
          <w:sz w:val="32"/>
          <w:szCs w:val="32"/>
          <w:u w:val="single"/>
        </w:rPr>
      </w:pPr>
    </w:p>
    <w:p w14:paraId="04939E11">
      <w:pPr>
        <w:pStyle w:val="7"/>
        <w:rPr>
          <w:rFonts w:hint="eastAsia" w:ascii="黑体" w:hAnsi="黑体" w:eastAsia="黑体" w:cs="黑体"/>
          <w:i/>
          <w:color w:val="auto"/>
          <w:sz w:val="32"/>
          <w:szCs w:val="32"/>
          <w:u w:val="single"/>
        </w:rPr>
      </w:pPr>
    </w:p>
    <w:p w14:paraId="1282569D">
      <w:pPr>
        <w:pStyle w:val="7"/>
        <w:rPr>
          <w:rFonts w:hint="eastAsia" w:ascii="黑体" w:hAnsi="黑体" w:eastAsia="黑体" w:cs="黑体"/>
          <w:i/>
          <w:color w:val="auto"/>
          <w:sz w:val="32"/>
          <w:szCs w:val="32"/>
          <w:u w:val="single"/>
        </w:rPr>
      </w:pPr>
    </w:p>
    <w:p w14:paraId="3CACBB35">
      <w:pPr>
        <w:pStyle w:val="7"/>
        <w:rPr>
          <w:rFonts w:hint="eastAsia" w:ascii="黑体" w:hAnsi="黑体" w:eastAsia="黑体" w:cs="黑体"/>
          <w:i/>
          <w:color w:val="auto"/>
          <w:sz w:val="32"/>
          <w:szCs w:val="32"/>
          <w:u w:val="single"/>
        </w:rPr>
      </w:pPr>
    </w:p>
    <w:p w14:paraId="152CB92B">
      <w:pPr>
        <w:pStyle w:val="7"/>
        <w:rPr>
          <w:rFonts w:hint="eastAsia" w:ascii="黑体" w:hAnsi="黑体" w:eastAsia="黑体" w:cs="黑体"/>
          <w:i/>
          <w:color w:val="auto"/>
          <w:sz w:val="32"/>
          <w:szCs w:val="32"/>
          <w:u w:val="single"/>
        </w:rPr>
      </w:pPr>
    </w:p>
    <w:p w14:paraId="4C2C04EE">
      <w:pPr>
        <w:pStyle w:val="7"/>
        <w:rPr>
          <w:rFonts w:hint="eastAsia" w:ascii="黑体" w:hAnsi="黑体" w:eastAsia="黑体" w:cs="黑体"/>
          <w:i/>
          <w:color w:val="auto"/>
          <w:sz w:val="32"/>
          <w:szCs w:val="32"/>
          <w:u w:val="single"/>
        </w:rPr>
      </w:pPr>
    </w:p>
    <w:p w14:paraId="6371FE9D">
      <w:pPr>
        <w:pStyle w:val="7"/>
        <w:rPr>
          <w:rFonts w:hint="eastAsia" w:ascii="黑体" w:hAnsi="黑体" w:eastAsia="黑体" w:cs="黑体"/>
          <w:i/>
          <w:color w:val="auto"/>
          <w:sz w:val="32"/>
          <w:szCs w:val="32"/>
          <w:u w:val="single"/>
        </w:rPr>
      </w:pPr>
    </w:p>
    <w:p w14:paraId="0A0D2E40">
      <w:pPr>
        <w:pStyle w:val="7"/>
        <w:rPr>
          <w:rFonts w:hint="eastAsia" w:ascii="黑体" w:hAnsi="黑体" w:eastAsia="黑体" w:cs="黑体"/>
          <w:i/>
          <w:color w:val="auto"/>
          <w:sz w:val="32"/>
          <w:szCs w:val="32"/>
          <w:u w:val="single"/>
        </w:rPr>
      </w:pPr>
    </w:p>
    <w:p w14:paraId="0D86A9C9">
      <w:pPr>
        <w:pStyle w:val="7"/>
        <w:rPr>
          <w:rFonts w:hint="eastAsia" w:ascii="黑体" w:hAnsi="黑体" w:eastAsia="黑体" w:cs="黑体"/>
          <w:i/>
          <w:color w:val="auto"/>
          <w:sz w:val="32"/>
          <w:szCs w:val="32"/>
          <w:u w:val="single"/>
        </w:rPr>
      </w:pPr>
    </w:p>
    <w:p w14:paraId="0B888826">
      <w:pPr>
        <w:pStyle w:val="7"/>
        <w:rPr>
          <w:rFonts w:hint="eastAsia" w:ascii="黑体" w:hAnsi="黑体" w:eastAsia="黑体" w:cs="黑体"/>
          <w:i/>
          <w:color w:val="auto"/>
          <w:sz w:val="32"/>
          <w:szCs w:val="32"/>
          <w:u w:val="single"/>
        </w:rPr>
      </w:pPr>
    </w:p>
    <w:p w14:paraId="488F3ED8">
      <w:pPr>
        <w:widowControl/>
        <w:numPr>
          <w:ilvl w:val="0"/>
          <w:numId w:val="0"/>
        </w:numPr>
        <w:spacing w:before="50" w:after="50"/>
        <w:jc w:val="center"/>
        <w:rPr>
          <w:rFonts w:hint="eastAsia" w:ascii="黑体" w:hAnsi="黑体" w:eastAsia="黑体" w:cs="黑体"/>
          <w:i/>
          <w:color w:val="auto"/>
          <w:sz w:val="32"/>
          <w:szCs w:val="32"/>
          <w:u w:val="single"/>
        </w:rPr>
      </w:pPr>
    </w:p>
    <w:bookmarkEnd w:id="0"/>
    <w:bookmarkEnd w:id="43"/>
    <w:bookmarkEnd w:id="90"/>
    <w:bookmarkEnd w:id="91"/>
    <w:bookmarkEnd w:id="92"/>
    <w:bookmarkEnd w:id="93"/>
    <w:bookmarkEnd w:id="94"/>
    <w:bookmarkEnd w:id="95"/>
    <w:bookmarkEnd w:id="96"/>
    <w:bookmarkEnd w:id="97"/>
    <w:bookmarkEnd w:id="106"/>
    <w:bookmarkEnd w:id="107"/>
    <w:bookmarkEnd w:id="114"/>
    <w:bookmarkEnd w:id="161"/>
    <w:bookmarkEnd w:id="164"/>
    <w:bookmarkEnd w:id="167"/>
    <w:bookmarkEnd w:id="168"/>
    <w:bookmarkEnd w:id="169"/>
    <w:bookmarkEnd w:id="170"/>
    <w:bookmarkEnd w:id="171"/>
    <w:bookmarkEnd w:id="172"/>
    <w:bookmarkEnd w:id="173"/>
    <w:bookmarkEnd w:id="174"/>
    <w:bookmarkEnd w:id="183"/>
    <w:bookmarkEnd w:id="184"/>
    <w:bookmarkEnd w:id="185"/>
    <w:bookmarkEnd w:id="186"/>
    <w:bookmarkEnd w:id="187"/>
    <w:p w14:paraId="2F20DB8B">
      <w:pPr>
        <w:pStyle w:val="12"/>
        <w:spacing w:beforeAutospacing="0" w:afterAutospacing="0"/>
        <w:jc w:val="both"/>
        <w:rPr>
          <w:rFonts w:hint="eastAsia" w:ascii="宋体" w:hAnsi="宋体" w:eastAsia="宋体" w:cs="宋体"/>
          <w:b/>
          <w:color w:val="000000"/>
          <w:sz w:val="32"/>
          <w:szCs w:val="32"/>
          <w:highlight w:val="none"/>
        </w:rPr>
      </w:pPr>
    </w:p>
    <w:p w14:paraId="1BD58B05">
      <w:pPr>
        <w:pStyle w:val="12"/>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4408F78F">
      <w:pPr>
        <w:pStyle w:val="12"/>
        <w:spacing w:before="290"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一、质疑供应商基本信息</w:t>
      </w:r>
    </w:p>
    <w:p w14:paraId="6C307A75">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质疑供应商：</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p>
    <w:p w14:paraId="40CDA18D">
      <w:pPr>
        <w:pStyle w:val="12"/>
        <w:spacing w:beforeAutospacing="0" w:afterAutospacing="0" w:line="240" w:lineRule="auto"/>
        <w:jc w:val="both"/>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w:t>
      </w:r>
    </w:p>
    <w:p w14:paraId="6204001A">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邮编：</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p>
    <w:p w14:paraId="2CB49ACA">
      <w:pPr>
        <w:pStyle w:val="12"/>
        <w:spacing w:beforeAutospacing="0" w:afterAutospacing="0" w:line="240" w:lineRule="auto"/>
        <w:jc w:val="both"/>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联系人：</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p>
    <w:p w14:paraId="2DB03877">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w:t>
      </w:r>
    </w:p>
    <w:p w14:paraId="499727A8">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授权代表：</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p>
    <w:p w14:paraId="6B88EEAA">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p>
    <w:p w14:paraId="26720E08">
      <w:pPr>
        <w:pStyle w:val="12"/>
        <w:spacing w:beforeAutospacing="0" w:afterAutospacing="0" w:line="240" w:lineRule="auto"/>
        <w:jc w:val="both"/>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地址： </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p>
    <w:p w14:paraId="7C51F6AF">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邮编：</w:t>
      </w:r>
      <w:r>
        <w:rPr>
          <w:rFonts w:hint="eastAsia" w:ascii="宋体" w:hAnsi="宋体" w:eastAsia="宋体" w:cs="宋体"/>
          <w:color w:val="000000"/>
          <w:sz w:val="21"/>
          <w:szCs w:val="21"/>
          <w:highlight w:val="none"/>
          <w:u w:val="single"/>
        </w:rPr>
        <w:t xml:space="preserve">                                </w:t>
      </w:r>
    </w:p>
    <w:p w14:paraId="6578280A">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二、质疑项目基本情况</w:t>
      </w:r>
    </w:p>
    <w:p w14:paraId="5CA0EF62">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质疑项目的名称：</w:t>
      </w:r>
      <w:r>
        <w:rPr>
          <w:rFonts w:hint="eastAsia" w:ascii="宋体" w:hAnsi="宋体" w:eastAsia="宋体" w:cs="宋体"/>
          <w:color w:val="000000"/>
          <w:sz w:val="21"/>
          <w:szCs w:val="21"/>
          <w:highlight w:val="none"/>
          <w:u w:val="single"/>
        </w:rPr>
        <w:t xml:space="preserve">                            </w:t>
      </w:r>
    </w:p>
    <w:p w14:paraId="5DF92306">
      <w:pPr>
        <w:pStyle w:val="12"/>
        <w:spacing w:beforeAutospacing="0" w:afterAutospacing="0" w:line="240" w:lineRule="auto"/>
        <w:jc w:val="both"/>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质疑项目的编号：</w:t>
      </w:r>
      <w:r>
        <w:rPr>
          <w:rFonts w:hint="eastAsia" w:ascii="宋体" w:hAnsi="宋体" w:eastAsia="宋体" w:cs="宋体"/>
          <w:color w:val="000000"/>
          <w:sz w:val="21"/>
          <w:szCs w:val="21"/>
          <w:highlight w:val="none"/>
          <w:u w:val="single"/>
        </w:rPr>
        <w:t xml:space="preserve">                          </w:t>
      </w:r>
    </w:p>
    <w:p w14:paraId="208912AC">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p>
    <w:p w14:paraId="6416D5F4">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采购人名称：</w:t>
      </w:r>
      <w:r>
        <w:rPr>
          <w:rFonts w:hint="eastAsia" w:ascii="宋体" w:hAnsi="宋体" w:eastAsia="宋体" w:cs="宋体"/>
          <w:color w:val="000000"/>
          <w:sz w:val="21"/>
          <w:szCs w:val="21"/>
          <w:highlight w:val="none"/>
          <w:u w:val="single"/>
        </w:rPr>
        <w:t xml:space="preserve">                            </w:t>
      </w:r>
    </w:p>
    <w:p w14:paraId="60F609DC">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采购文件获取日期：</w:t>
      </w:r>
      <w:r>
        <w:rPr>
          <w:rFonts w:hint="eastAsia" w:ascii="宋体" w:hAnsi="宋体" w:eastAsia="宋体" w:cs="宋体"/>
          <w:color w:val="000000"/>
          <w:sz w:val="21"/>
          <w:szCs w:val="21"/>
          <w:highlight w:val="none"/>
          <w:u w:val="single"/>
        </w:rPr>
        <w:t xml:space="preserve">                             </w:t>
      </w:r>
    </w:p>
    <w:p w14:paraId="61145962">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三、质疑事项具体内容</w:t>
      </w:r>
    </w:p>
    <w:p w14:paraId="50CD04C7">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质疑事项1：</w:t>
      </w:r>
      <w:r>
        <w:rPr>
          <w:rFonts w:hint="eastAsia" w:ascii="宋体" w:hAnsi="宋体" w:eastAsia="宋体" w:cs="宋体"/>
          <w:color w:val="000000"/>
          <w:sz w:val="21"/>
          <w:szCs w:val="21"/>
          <w:highlight w:val="none"/>
          <w:u w:val="single"/>
        </w:rPr>
        <w:t xml:space="preserve">                             </w:t>
      </w:r>
    </w:p>
    <w:p w14:paraId="2D3C5A9C">
      <w:pPr>
        <w:pStyle w:val="12"/>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事实依据：</w:t>
      </w:r>
      <w:r>
        <w:rPr>
          <w:rFonts w:hint="eastAsia" w:ascii="宋体" w:hAnsi="宋体" w:eastAsia="宋体" w:cs="宋体"/>
          <w:color w:val="000000"/>
          <w:sz w:val="21"/>
          <w:szCs w:val="21"/>
          <w:highlight w:val="none"/>
          <w:u w:val="single"/>
        </w:rPr>
        <w:t xml:space="preserve">                                                   </w:t>
      </w:r>
    </w:p>
    <w:p w14:paraId="7F07B8F1">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法律依据：</w:t>
      </w:r>
      <w:r>
        <w:rPr>
          <w:rFonts w:hint="eastAsia" w:ascii="宋体" w:hAnsi="宋体" w:eastAsia="宋体" w:cs="宋体"/>
          <w:color w:val="000000"/>
          <w:sz w:val="21"/>
          <w:szCs w:val="21"/>
          <w:highlight w:val="none"/>
          <w:u w:val="single"/>
        </w:rPr>
        <w:t xml:space="preserve">                                                    </w:t>
      </w:r>
    </w:p>
    <w:p w14:paraId="0140CBED">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质疑事项2</w:t>
      </w:r>
    </w:p>
    <w:p w14:paraId="17B714BF">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w:t>
      </w:r>
    </w:p>
    <w:p w14:paraId="1A43196A">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四、与质疑事项相关的质疑请求</w:t>
      </w:r>
    </w:p>
    <w:p w14:paraId="166EEFF8">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请求：</w:t>
      </w:r>
      <w:r>
        <w:rPr>
          <w:rFonts w:hint="eastAsia" w:ascii="宋体" w:hAnsi="宋体" w:eastAsia="宋体" w:cs="宋体"/>
          <w:color w:val="000000"/>
          <w:sz w:val="21"/>
          <w:szCs w:val="21"/>
          <w:highlight w:val="none"/>
          <w:u w:val="single"/>
        </w:rPr>
        <w:t xml:space="preserve">                                                          </w:t>
      </w:r>
    </w:p>
    <w:p w14:paraId="0191183A">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签字(签章)：                 公章：               日期：    </w:t>
      </w:r>
    </w:p>
    <w:p w14:paraId="486AA1DE">
      <w:pPr>
        <w:pStyle w:val="12"/>
        <w:spacing w:beforeAutospacing="0" w:afterAutospacing="0" w:line="240" w:lineRule="auto"/>
        <w:jc w:val="both"/>
        <w:rPr>
          <w:rFonts w:ascii="宋体" w:hAnsi="宋体" w:eastAsia="宋体" w:cs="宋体"/>
          <w:sz w:val="21"/>
          <w:szCs w:val="21"/>
          <w:highlight w:val="none"/>
        </w:rPr>
      </w:pPr>
      <w:r>
        <w:rPr>
          <w:rFonts w:hint="eastAsia" w:ascii="宋体" w:hAnsi="宋体" w:eastAsia="宋体" w:cs="宋体"/>
          <w:b/>
          <w:color w:val="000000"/>
          <w:sz w:val="21"/>
          <w:szCs w:val="21"/>
          <w:highlight w:val="none"/>
        </w:rPr>
        <w:t>质疑函制作说明：</w:t>
      </w:r>
    </w:p>
    <w:p w14:paraId="36ED08AD">
      <w:pPr>
        <w:pStyle w:val="12"/>
        <w:widowControl/>
        <w:spacing w:beforeAutospacing="0" w:afterAutospacing="0" w:line="240" w:lineRule="auto"/>
        <w:ind w:firstLine="480"/>
        <w:rPr>
          <w:rFonts w:ascii="宋体" w:hAnsi="宋体" w:eastAsia="宋体" w:cs="宋体"/>
          <w:sz w:val="21"/>
          <w:szCs w:val="21"/>
          <w:highlight w:val="none"/>
        </w:rPr>
      </w:pPr>
      <w:r>
        <w:rPr>
          <w:rFonts w:hint="eastAsia" w:ascii="宋体" w:hAnsi="宋体" w:eastAsia="宋体" w:cs="宋体"/>
          <w:color w:val="000000"/>
          <w:sz w:val="21"/>
          <w:szCs w:val="21"/>
          <w:highlight w:val="none"/>
        </w:rPr>
        <w:t>1.供应商提出质疑时，应提交质疑函和必要的证明材料。</w:t>
      </w:r>
    </w:p>
    <w:p w14:paraId="62091F4D">
      <w:pPr>
        <w:pStyle w:val="12"/>
        <w:widowControl/>
        <w:spacing w:beforeAutospacing="0" w:afterAutospacing="0" w:line="240" w:lineRule="auto"/>
        <w:ind w:firstLine="480"/>
        <w:rPr>
          <w:rFonts w:ascii="宋体" w:hAnsi="宋体" w:eastAsia="宋体" w:cs="宋体"/>
          <w:sz w:val="21"/>
          <w:szCs w:val="21"/>
          <w:highlight w:val="none"/>
        </w:rPr>
      </w:pPr>
      <w:r>
        <w:rPr>
          <w:rFonts w:hint="eastAsia" w:ascii="宋体" w:hAnsi="宋体" w:eastAsia="宋体" w:cs="宋体"/>
          <w:color w:val="000000"/>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12"/>
        <w:widowControl/>
        <w:spacing w:beforeAutospacing="0" w:afterAutospacing="0" w:line="240" w:lineRule="auto"/>
        <w:ind w:firstLine="480"/>
        <w:rPr>
          <w:rFonts w:ascii="宋体" w:hAnsi="宋体" w:eastAsia="宋体" w:cs="宋体"/>
          <w:sz w:val="21"/>
          <w:szCs w:val="21"/>
          <w:highlight w:val="none"/>
        </w:rPr>
      </w:pPr>
      <w:r>
        <w:rPr>
          <w:rFonts w:hint="eastAsia" w:ascii="宋体" w:hAnsi="宋体" w:eastAsia="宋体" w:cs="宋体"/>
          <w:color w:val="000000"/>
          <w:sz w:val="21"/>
          <w:szCs w:val="21"/>
          <w:highlight w:val="none"/>
        </w:rPr>
        <w:t>3.质疑供应商若对项目的某一分包进行质疑，质疑函中应列明具体分包号。</w:t>
      </w:r>
    </w:p>
    <w:p w14:paraId="0F2A8B16">
      <w:pPr>
        <w:pStyle w:val="12"/>
        <w:widowControl/>
        <w:spacing w:beforeAutospacing="0" w:afterAutospacing="0" w:line="240" w:lineRule="auto"/>
        <w:ind w:firstLine="480"/>
        <w:rPr>
          <w:rFonts w:ascii="宋体" w:hAnsi="宋体" w:eastAsia="宋体" w:cs="宋体"/>
          <w:sz w:val="21"/>
          <w:szCs w:val="21"/>
          <w:highlight w:val="none"/>
        </w:rPr>
      </w:pPr>
      <w:r>
        <w:rPr>
          <w:rFonts w:hint="eastAsia" w:ascii="宋体" w:hAnsi="宋体" w:eastAsia="宋体" w:cs="宋体"/>
          <w:color w:val="000000"/>
          <w:sz w:val="21"/>
          <w:szCs w:val="21"/>
          <w:highlight w:val="none"/>
        </w:rPr>
        <w:t>4.质疑函的质疑事项应具体、明确，并有必要的事实依据和法律依据。</w:t>
      </w:r>
    </w:p>
    <w:p w14:paraId="335F536F">
      <w:pPr>
        <w:pStyle w:val="12"/>
        <w:widowControl/>
        <w:spacing w:beforeAutospacing="0" w:afterAutospacing="0" w:line="240" w:lineRule="auto"/>
        <w:ind w:firstLine="480"/>
        <w:rPr>
          <w:rFonts w:ascii="宋体" w:hAnsi="宋体" w:eastAsia="宋体" w:cs="宋体"/>
          <w:sz w:val="21"/>
          <w:szCs w:val="21"/>
          <w:highlight w:val="none"/>
        </w:rPr>
      </w:pPr>
      <w:r>
        <w:rPr>
          <w:rFonts w:hint="eastAsia" w:ascii="宋体" w:hAnsi="宋体" w:eastAsia="宋体" w:cs="宋体"/>
          <w:color w:val="000000"/>
          <w:sz w:val="21"/>
          <w:szCs w:val="21"/>
          <w:highlight w:val="none"/>
        </w:rPr>
        <w:t>5.质疑函的质疑请求应与质疑事项相关。</w:t>
      </w:r>
    </w:p>
    <w:p w14:paraId="0F6A2591">
      <w:pPr>
        <w:pStyle w:val="12"/>
        <w:widowControl/>
        <w:spacing w:beforeAutospacing="0" w:afterAutospacing="0" w:line="240" w:lineRule="auto"/>
        <w:ind w:firstLine="480"/>
        <w:rPr>
          <w:rFonts w:ascii="宋体" w:hAnsi="宋体" w:eastAsia="宋体" w:cs="宋体"/>
          <w:sz w:val="21"/>
          <w:szCs w:val="21"/>
          <w:highlight w:val="none"/>
        </w:rPr>
      </w:pPr>
      <w:r>
        <w:rPr>
          <w:rFonts w:hint="eastAsia" w:ascii="宋体" w:hAnsi="宋体" w:eastAsia="宋体" w:cs="宋体"/>
          <w:color w:val="000000"/>
          <w:sz w:val="21"/>
          <w:szCs w:val="21"/>
          <w:highlight w:val="none"/>
        </w:rPr>
        <w:t>6.质疑供应商为自然人的，质疑函应由本人签字；质疑供应商为法人或者其他组织的，质疑函应由法定代表人、主要负责人，或者其授权代表签字或者盖章，并加盖公章。</w:t>
      </w:r>
    </w:p>
    <w:p w14:paraId="4A90D10F">
      <w:pPr>
        <w:pStyle w:val="12"/>
        <w:spacing w:beforeAutospacing="0" w:afterAutospacing="0" w:line="240" w:lineRule="auto"/>
        <w:rPr>
          <w:sz w:val="21"/>
          <w:szCs w:val="21"/>
          <w:highlight w:val="none"/>
        </w:rPr>
      </w:pPr>
    </w:p>
    <w:sectPr>
      <w:footerReference r:id="rId5" w:type="default"/>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Angsana New">
    <w:altName w:val="Times New Roman"/>
    <w:panose1 w:val="02020603050405020304"/>
    <w:charset w:val="00"/>
    <w:family w:val="auto"/>
    <w:pitch w:val="default"/>
    <w:sig w:usb0="00000000" w:usb1="00000000" w:usb2="00000000" w:usb3="00000000" w:csb0="0001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C19F3">
    <w:pPr>
      <w:pStyle w:val="1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A4167">
                          <w:pPr>
                            <w:pStyle w:val="10"/>
                            <w:jc w:val="center"/>
                          </w:pPr>
                          <w:r>
                            <w:fldChar w:fldCharType="begin"/>
                          </w:r>
                          <w:r>
                            <w:instrText xml:space="preserve">PAGE   \* MERGEFORMAT</w:instrText>
                          </w:r>
                          <w:r>
                            <w:fldChar w:fldCharType="separate"/>
                          </w:r>
                          <w:r>
                            <w:rPr>
                              <w:lang w:val="zh-CN"/>
                            </w:rP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72A4167">
                    <w:pPr>
                      <w:pStyle w:val="10"/>
                      <w:jc w:val="center"/>
                    </w:pPr>
                    <w:r>
                      <w:fldChar w:fldCharType="begin"/>
                    </w:r>
                    <w:r>
                      <w:instrText xml:space="preserve">PAGE   \* MERGEFORMAT</w:instrText>
                    </w:r>
                    <w:r>
                      <w:fldChar w:fldCharType="separate"/>
                    </w:r>
                    <w:r>
                      <w:rPr>
                        <w:lang w:val="zh-CN"/>
                      </w:rPr>
                      <w:t>46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2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0D885D2C">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4C71B">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9E43A3"/>
    <w:multiLevelType w:val="singleLevel"/>
    <w:tmpl w:val="9E9E43A3"/>
    <w:lvl w:ilvl="0" w:tentative="0">
      <w:start w:val="16"/>
      <w:numFmt w:val="chineseCounting"/>
      <w:suff w:val="nothing"/>
      <w:lvlText w:val="%1、"/>
      <w:lvlJc w:val="left"/>
      <w:rPr>
        <w:rFonts w:hint="eastAsia"/>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DCB8A3E3"/>
    <w:multiLevelType w:val="singleLevel"/>
    <w:tmpl w:val="DCB8A3E3"/>
    <w:lvl w:ilvl="0" w:tentative="0">
      <w:start w:val="2"/>
      <w:numFmt w:val="decimal"/>
      <w:suff w:val="nothing"/>
      <w:lvlText w:val="%1、"/>
      <w:lvlJc w:val="left"/>
    </w:lvl>
  </w:abstractNum>
  <w:abstractNum w:abstractNumId="3">
    <w:nsid w:val="FB0E82D6"/>
    <w:multiLevelType w:val="singleLevel"/>
    <w:tmpl w:val="FB0E82D6"/>
    <w:lvl w:ilvl="0" w:tentative="0">
      <w:start w:val="11"/>
      <w:numFmt w:val="chineseCounting"/>
      <w:suff w:val="nothing"/>
      <w:lvlText w:val="%1、"/>
      <w:lvlJc w:val="left"/>
      <w:rPr>
        <w:rFonts w:hint="eastAsia"/>
      </w:rPr>
    </w:lvl>
  </w:abstractNum>
  <w:abstractNum w:abstractNumId="4">
    <w:nsid w:val="28FE83CC"/>
    <w:multiLevelType w:val="singleLevel"/>
    <w:tmpl w:val="28FE83CC"/>
    <w:lvl w:ilvl="0" w:tentative="0">
      <w:start w:val="17"/>
      <w:numFmt w:val="chineseCounting"/>
      <w:suff w:val="nothing"/>
      <w:lvlText w:val="%1、"/>
      <w:lvlJc w:val="left"/>
      <w:pPr>
        <w:ind w:left="469" w:leftChars="0" w:firstLine="0" w:firstLineChars="0"/>
      </w:pPr>
      <w:rPr>
        <w:rFonts w:hint="eastAsia"/>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B6FA8"/>
    <w:rsid w:val="000D6064"/>
    <w:rsid w:val="00106EC4"/>
    <w:rsid w:val="00111440"/>
    <w:rsid w:val="00112B63"/>
    <w:rsid w:val="00152010"/>
    <w:rsid w:val="00172A27"/>
    <w:rsid w:val="002B0C85"/>
    <w:rsid w:val="003C54BE"/>
    <w:rsid w:val="004125B1"/>
    <w:rsid w:val="00427F98"/>
    <w:rsid w:val="0043525F"/>
    <w:rsid w:val="004529E6"/>
    <w:rsid w:val="004E0F29"/>
    <w:rsid w:val="005257A0"/>
    <w:rsid w:val="00755D43"/>
    <w:rsid w:val="007E3A7B"/>
    <w:rsid w:val="00822248"/>
    <w:rsid w:val="00927A3A"/>
    <w:rsid w:val="009620FE"/>
    <w:rsid w:val="00973C6A"/>
    <w:rsid w:val="009D4169"/>
    <w:rsid w:val="009E04AF"/>
    <w:rsid w:val="00A75D0F"/>
    <w:rsid w:val="00BD1A9C"/>
    <w:rsid w:val="00BF706B"/>
    <w:rsid w:val="00C90FDD"/>
    <w:rsid w:val="00CE1146"/>
    <w:rsid w:val="00CF47B8"/>
    <w:rsid w:val="00D00F3E"/>
    <w:rsid w:val="00D20B29"/>
    <w:rsid w:val="00D3382A"/>
    <w:rsid w:val="00D550E3"/>
    <w:rsid w:val="00D724D7"/>
    <w:rsid w:val="00ED0DA8"/>
    <w:rsid w:val="00F04D35"/>
    <w:rsid w:val="00F05E1E"/>
    <w:rsid w:val="00F65A6E"/>
    <w:rsid w:val="00FA4B2E"/>
    <w:rsid w:val="00FE0994"/>
    <w:rsid w:val="00FF1D20"/>
    <w:rsid w:val="014036E0"/>
    <w:rsid w:val="015C3D17"/>
    <w:rsid w:val="01AE0C97"/>
    <w:rsid w:val="021B6523"/>
    <w:rsid w:val="02851591"/>
    <w:rsid w:val="02867E41"/>
    <w:rsid w:val="028B748A"/>
    <w:rsid w:val="02BD5381"/>
    <w:rsid w:val="02D505AD"/>
    <w:rsid w:val="02E01C47"/>
    <w:rsid w:val="02F0175E"/>
    <w:rsid w:val="034115E7"/>
    <w:rsid w:val="034E4AD1"/>
    <w:rsid w:val="037E0789"/>
    <w:rsid w:val="03912F41"/>
    <w:rsid w:val="04CF1FA6"/>
    <w:rsid w:val="056E5657"/>
    <w:rsid w:val="058663AA"/>
    <w:rsid w:val="05F756E7"/>
    <w:rsid w:val="060D706B"/>
    <w:rsid w:val="062C42CE"/>
    <w:rsid w:val="068A6E34"/>
    <w:rsid w:val="07994E3B"/>
    <w:rsid w:val="07A02A3F"/>
    <w:rsid w:val="07A40F48"/>
    <w:rsid w:val="083420ED"/>
    <w:rsid w:val="0854758E"/>
    <w:rsid w:val="08992D34"/>
    <w:rsid w:val="09132265"/>
    <w:rsid w:val="093D69A6"/>
    <w:rsid w:val="095D46A1"/>
    <w:rsid w:val="0A7315F2"/>
    <w:rsid w:val="0ABC363A"/>
    <w:rsid w:val="0AD8294B"/>
    <w:rsid w:val="0B4B3B00"/>
    <w:rsid w:val="0B550CF8"/>
    <w:rsid w:val="0B8A23C1"/>
    <w:rsid w:val="0BAE3813"/>
    <w:rsid w:val="0C6F7B97"/>
    <w:rsid w:val="0C8C7F7C"/>
    <w:rsid w:val="0D231FF9"/>
    <w:rsid w:val="0D4D2FC1"/>
    <w:rsid w:val="0DF06AB6"/>
    <w:rsid w:val="0E0362D5"/>
    <w:rsid w:val="0E0D7668"/>
    <w:rsid w:val="0E966A8C"/>
    <w:rsid w:val="0E9C09EC"/>
    <w:rsid w:val="0EE61CD2"/>
    <w:rsid w:val="0F6D24BC"/>
    <w:rsid w:val="0F7D537E"/>
    <w:rsid w:val="10007707"/>
    <w:rsid w:val="10831E63"/>
    <w:rsid w:val="109A0F5B"/>
    <w:rsid w:val="11AB711C"/>
    <w:rsid w:val="11E249A1"/>
    <w:rsid w:val="122650C5"/>
    <w:rsid w:val="12431559"/>
    <w:rsid w:val="12EF1B96"/>
    <w:rsid w:val="12F015A0"/>
    <w:rsid w:val="132A2A6A"/>
    <w:rsid w:val="137D2B9A"/>
    <w:rsid w:val="14477BA7"/>
    <w:rsid w:val="1473704E"/>
    <w:rsid w:val="14EB154F"/>
    <w:rsid w:val="15BF3E2F"/>
    <w:rsid w:val="169263C8"/>
    <w:rsid w:val="16A61788"/>
    <w:rsid w:val="16BA3E2C"/>
    <w:rsid w:val="16BE285C"/>
    <w:rsid w:val="16F413C5"/>
    <w:rsid w:val="17666D47"/>
    <w:rsid w:val="1792502D"/>
    <w:rsid w:val="18BC4109"/>
    <w:rsid w:val="18EE139A"/>
    <w:rsid w:val="192F5D4A"/>
    <w:rsid w:val="193260E4"/>
    <w:rsid w:val="19835197"/>
    <w:rsid w:val="1A4F2C83"/>
    <w:rsid w:val="1A66082C"/>
    <w:rsid w:val="1A9133CF"/>
    <w:rsid w:val="1A9A12C1"/>
    <w:rsid w:val="1AC564D8"/>
    <w:rsid w:val="1AD2708F"/>
    <w:rsid w:val="1B5F5046"/>
    <w:rsid w:val="1B8B7B95"/>
    <w:rsid w:val="1B9509DF"/>
    <w:rsid w:val="1BA002D8"/>
    <w:rsid w:val="1BCA3215"/>
    <w:rsid w:val="1BCC6609"/>
    <w:rsid w:val="1C0025BA"/>
    <w:rsid w:val="1C0A11A4"/>
    <w:rsid w:val="1CAC4347"/>
    <w:rsid w:val="1CCA472E"/>
    <w:rsid w:val="1D1C1092"/>
    <w:rsid w:val="1D605A5A"/>
    <w:rsid w:val="1D854966"/>
    <w:rsid w:val="1DFD1285"/>
    <w:rsid w:val="1DFD324E"/>
    <w:rsid w:val="1EA043BC"/>
    <w:rsid w:val="1EC70509"/>
    <w:rsid w:val="1F4A0271"/>
    <w:rsid w:val="1FC7762D"/>
    <w:rsid w:val="20260BCB"/>
    <w:rsid w:val="205730E8"/>
    <w:rsid w:val="20733730"/>
    <w:rsid w:val="208D5464"/>
    <w:rsid w:val="20A83FAF"/>
    <w:rsid w:val="20F15B9D"/>
    <w:rsid w:val="212D5EEC"/>
    <w:rsid w:val="215025DE"/>
    <w:rsid w:val="21B7196D"/>
    <w:rsid w:val="21CC717D"/>
    <w:rsid w:val="21F4671D"/>
    <w:rsid w:val="2228286B"/>
    <w:rsid w:val="22424AA4"/>
    <w:rsid w:val="228D26CE"/>
    <w:rsid w:val="22F62B8A"/>
    <w:rsid w:val="23092164"/>
    <w:rsid w:val="23254D08"/>
    <w:rsid w:val="23534E2B"/>
    <w:rsid w:val="239A7798"/>
    <w:rsid w:val="23ED3D6C"/>
    <w:rsid w:val="242C02D7"/>
    <w:rsid w:val="24533DC2"/>
    <w:rsid w:val="245C2603"/>
    <w:rsid w:val="2532334D"/>
    <w:rsid w:val="26750FF7"/>
    <w:rsid w:val="26D6553E"/>
    <w:rsid w:val="26E9418F"/>
    <w:rsid w:val="27194423"/>
    <w:rsid w:val="27290FC5"/>
    <w:rsid w:val="28A77F49"/>
    <w:rsid w:val="28FC627B"/>
    <w:rsid w:val="28FE41FC"/>
    <w:rsid w:val="29345C52"/>
    <w:rsid w:val="2996274E"/>
    <w:rsid w:val="2A4648B7"/>
    <w:rsid w:val="2AD25897"/>
    <w:rsid w:val="2AFB5241"/>
    <w:rsid w:val="2B005440"/>
    <w:rsid w:val="2C03574A"/>
    <w:rsid w:val="2C117DB2"/>
    <w:rsid w:val="2C66635B"/>
    <w:rsid w:val="2C7B3B05"/>
    <w:rsid w:val="2CC277F5"/>
    <w:rsid w:val="2D67525C"/>
    <w:rsid w:val="2D784F24"/>
    <w:rsid w:val="2DAC25A2"/>
    <w:rsid w:val="2DE81100"/>
    <w:rsid w:val="2E593F69"/>
    <w:rsid w:val="2E5E7AF7"/>
    <w:rsid w:val="2E8702E5"/>
    <w:rsid w:val="2EB711FE"/>
    <w:rsid w:val="2ED51684"/>
    <w:rsid w:val="2EE73822"/>
    <w:rsid w:val="2F1877C3"/>
    <w:rsid w:val="2F741861"/>
    <w:rsid w:val="2FAD4FD9"/>
    <w:rsid w:val="2FB346FB"/>
    <w:rsid w:val="2FFA5778"/>
    <w:rsid w:val="30495C84"/>
    <w:rsid w:val="30626EBE"/>
    <w:rsid w:val="30650005"/>
    <w:rsid w:val="310333AD"/>
    <w:rsid w:val="31522189"/>
    <w:rsid w:val="318A49A8"/>
    <w:rsid w:val="32990C1B"/>
    <w:rsid w:val="329E6CD8"/>
    <w:rsid w:val="33440753"/>
    <w:rsid w:val="33773E42"/>
    <w:rsid w:val="33A31D51"/>
    <w:rsid w:val="33C57E6C"/>
    <w:rsid w:val="34A9783B"/>
    <w:rsid w:val="34E14EA2"/>
    <w:rsid w:val="34E346A0"/>
    <w:rsid w:val="359B1151"/>
    <w:rsid w:val="35AD49A2"/>
    <w:rsid w:val="36172BC3"/>
    <w:rsid w:val="369D3506"/>
    <w:rsid w:val="36CC7C95"/>
    <w:rsid w:val="36CF07E3"/>
    <w:rsid w:val="36EB650A"/>
    <w:rsid w:val="37753A04"/>
    <w:rsid w:val="378133A9"/>
    <w:rsid w:val="37864436"/>
    <w:rsid w:val="380D6333"/>
    <w:rsid w:val="383A233E"/>
    <w:rsid w:val="38457DA4"/>
    <w:rsid w:val="39101F1B"/>
    <w:rsid w:val="392D7EB3"/>
    <w:rsid w:val="39720FC7"/>
    <w:rsid w:val="39B60304"/>
    <w:rsid w:val="39CD52E9"/>
    <w:rsid w:val="3A64388F"/>
    <w:rsid w:val="3B0B043D"/>
    <w:rsid w:val="3BDF2457"/>
    <w:rsid w:val="3C8E39AA"/>
    <w:rsid w:val="3CA53635"/>
    <w:rsid w:val="3D23372C"/>
    <w:rsid w:val="3D9646D4"/>
    <w:rsid w:val="3DF80C94"/>
    <w:rsid w:val="3E064F5A"/>
    <w:rsid w:val="3E161B6B"/>
    <w:rsid w:val="3E7F5998"/>
    <w:rsid w:val="3F0056DB"/>
    <w:rsid w:val="3F1A3023"/>
    <w:rsid w:val="3F243A9D"/>
    <w:rsid w:val="401D2E8B"/>
    <w:rsid w:val="40350295"/>
    <w:rsid w:val="406E1D8D"/>
    <w:rsid w:val="42053C57"/>
    <w:rsid w:val="42214BD9"/>
    <w:rsid w:val="42324DFA"/>
    <w:rsid w:val="42FA74B4"/>
    <w:rsid w:val="431353F3"/>
    <w:rsid w:val="43200364"/>
    <w:rsid w:val="43455446"/>
    <w:rsid w:val="43692E36"/>
    <w:rsid w:val="44DA072F"/>
    <w:rsid w:val="454D0F8E"/>
    <w:rsid w:val="45A932D5"/>
    <w:rsid w:val="45AE6921"/>
    <w:rsid w:val="45FC0A54"/>
    <w:rsid w:val="461D469A"/>
    <w:rsid w:val="466976E6"/>
    <w:rsid w:val="46EA0CE7"/>
    <w:rsid w:val="470D4256"/>
    <w:rsid w:val="472208AE"/>
    <w:rsid w:val="472A1A8A"/>
    <w:rsid w:val="47704C41"/>
    <w:rsid w:val="47B925F3"/>
    <w:rsid w:val="48910AEC"/>
    <w:rsid w:val="48B3170D"/>
    <w:rsid w:val="48B41562"/>
    <w:rsid w:val="493C7DE9"/>
    <w:rsid w:val="49697D17"/>
    <w:rsid w:val="4A1E13B4"/>
    <w:rsid w:val="4A2C49B0"/>
    <w:rsid w:val="4A7D1B0F"/>
    <w:rsid w:val="4A802994"/>
    <w:rsid w:val="4AAC50D1"/>
    <w:rsid w:val="4AE82438"/>
    <w:rsid w:val="4B133808"/>
    <w:rsid w:val="4B50680B"/>
    <w:rsid w:val="4B680540"/>
    <w:rsid w:val="4B816722"/>
    <w:rsid w:val="4C5A2B74"/>
    <w:rsid w:val="4C7B3413"/>
    <w:rsid w:val="4D0227B8"/>
    <w:rsid w:val="4D2D20D9"/>
    <w:rsid w:val="4D48434E"/>
    <w:rsid w:val="4D4B1038"/>
    <w:rsid w:val="4DA074F7"/>
    <w:rsid w:val="4DA33F07"/>
    <w:rsid w:val="4DDE52C0"/>
    <w:rsid w:val="4DFB00F6"/>
    <w:rsid w:val="4E8932F2"/>
    <w:rsid w:val="4F8A50E8"/>
    <w:rsid w:val="508605D9"/>
    <w:rsid w:val="509F6806"/>
    <w:rsid w:val="50A1397F"/>
    <w:rsid w:val="51C75DFE"/>
    <w:rsid w:val="52290D56"/>
    <w:rsid w:val="52496610"/>
    <w:rsid w:val="52741FCB"/>
    <w:rsid w:val="52D06B10"/>
    <w:rsid w:val="53536515"/>
    <w:rsid w:val="536B21BA"/>
    <w:rsid w:val="53A862CC"/>
    <w:rsid w:val="542A0FDA"/>
    <w:rsid w:val="544D7D8B"/>
    <w:rsid w:val="54604111"/>
    <w:rsid w:val="54E877FB"/>
    <w:rsid w:val="54ED53D0"/>
    <w:rsid w:val="55091CCC"/>
    <w:rsid w:val="56307253"/>
    <w:rsid w:val="56453199"/>
    <w:rsid w:val="564B4B24"/>
    <w:rsid w:val="56EF7016"/>
    <w:rsid w:val="5797379E"/>
    <w:rsid w:val="582F6DAB"/>
    <w:rsid w:val="58AD45AF"/>
    <w:rsid w:val="58D4718C"/>
    <w:rsid w:val="59346858"/>
    <w:rsid w:val="59581771"/>
    <w:rsid w:val="59A82CA5"/>
    <w:rsid w:val="5A1804F3"/>
    <w:rsid w:val="5AD536B4"/>
    <w:rsid w:val="5AEA4CCC"/>
    <w:rsid w:val="5B031B11"/>
    <w:rsid w:val="5B96574B"/>
    <w:rsid w:val="5C1E200D"/>
    <w:rsid w:val="5C5A652B"/>
    <w:rsid w:val="5C700ABB"/>
    <w:rsid w:val="5C995C5B"/>
    <w:rsid w:val="5D064006"/>
    <w:rsid w:val="5D1A36F8"/>
    <w:rsid w:val="5D320FC0"/>
    <w:rsid w:val="5D797461"/>
    <w:rsid w:val="5DE138D8"/>
    <w:rsid w:val="5E090D82"/>
    <w:rsid w:val="5E1921ED"/>
    <w:rsid w:val="5EDB106D"/>
    <w:rsid w:val="5EE035AA"/>
    <w:rsid w:val="5F7D5E8E"/>
    <w:rsid w:val="5F7F522A"/>
    <w:rsid w:val="601337BB"/>
    <w:rsid w:val="606A165C"/>
    <w:rsid w:val="607C0C26"/>
    <w:rsid w:val="60A07495"/>
    <w:rsid w:val="61730705"/>
    <w:rsid w:val="61FC5976"/>
    <w:rsid w:val="62281F6A"/>
    <w:rsid w:val="62285C4E"/>
    <w:rsid w:val="622C715E"/>
    <w:rsid w:val="623E5FD0"/>
    <w:rsid w:val="62A87E16"/>
    <w:rsid w:val="62CA561A"/>
    <w:rsid w:val="6313315F"/>
    <w:rsid w:val="632F68AE"/>
    <w:rsid w:val="63531AF3"/>
    <w:rsid w:val="63A72B7B"/>
    <w:rsid w:val="63CD6C1F"/>
    <w:rsid w:val="643A2D32"/>
    <w:rsid w:val="64A56430"/>
    <w:rsid w:val="65055217"/>
    <w:rsid w:val="65BB2793"/>
    <w:rsid w:val="65FF1B98"/>
    <w:rsid w:val="662B5A52"/>
    <w:rsid w:val="664F5C5B"/>
    <w:rsid w:val="667027CF"/>
    <w:rsid w:val="6688694C"/>
    <w:rsid w:val="67112E9A"/>
    <w:rsid w:val="67A410D5"/>
    <w:rsid w:val="67C9169A"/>
    <w:rsid w:val="68245589"/>
    <w:rsid w:val="68777DD2"/>
    <w:rsid w:val="68F55EA4"/>
    <w:rsid w:val="69201173"/>
    <w:rsid w:val="69456428"/>
    <w:rsid w:val="69983CE0"/>
    <w:rsid w:val="6A1C1694"/>
    <w:rsid w:val="6A751DB0"/>
    <w:rsid w:val="6AB95533"/>
    <w:rsid w:val="6B037E0E"/>
    <w:rsid w:val="6BBC355A"/>
    <w:rsid w:val="6BDE41BB"/>
    <w:rsid w:val="6C5462A8"/>
    <w:rsid w:val="6C917FD7"/>
    <w:rsid w:val="6D865F2E"/>
    <w:rsid w:val="6D8B36BB"/>
    <w:rsid w:val="6E1F5E9D"/>
    <w:rsid w:val="6E3A2CD6"/>
    <w:rsid w:val="70741DD0"/>
    <w:rsid w:val="7094007F"/>
    <w:rsid w:val="71BB7860"/>
    <w:rsid w:val="72440385"/>
    <w:rsid w:val="73412411"/>
    <w:rsid w:val="73761484"/>
    <w:rsid w:val="73F556E8"/>
    <w:rsid w:val="74237FA1"/>
    <w:rsid w:val="743F3C99"/>
    <w:rsid w:val="74835482"/>
    <w:rsid w:val="74877DC7"/>
    <w:rsid w:val="755802CB"/>
    <w:rsid w:val="75890D8F"/>
    <w:rsid w:val="75B043EA"/>
    <w:rsid w:val="767D2F63"/>
    <w:rsid w:val="76D90F68"/>
    <w:rsid w:val="7706409E"/>
    <w:rsid w:val="77C1540B"/>
    <w:rsid w:val="783E7320"/>
    <w:rsid w:val="78646D02"/>
    <w:rsid w:val="78AB700B"/>
    <w:rsid w:val="78CB19C0"/>
    <w:rsid w:val="78F35EFE"/>
    <w:rsid w:val="78F4447A"/>
    <w:rsid w:val="78F77A8A"/>
    <w:rsid w:val="78FF5669"/>
    <w:rsid w:val="7918780F"/>
    <w:rsid w:val="793275BA"/>
    <w:rsid w:val="79A724F1"/>
    <w:rsid w:val="79B56B48"/>
    <w:rsid w:val="7A4B7878"/>
    <w:rsid w:val="7A6D100D"/>
    <w:rsid w:val="7BC736D0"/>
    <w:rsid w:val="7C5F16F8"/>
    <w:rsid w:val="7C9D3E10"/>
    <w:rsid w:val="7CAF2E48"/>
    <w:rsid w:val="7CB122FF"/>
    <w:rsid w:val="7CFC55FB"/>
    <w:rsid w:val="7D796C4C"/>
    <w:rsid w:val="7D8B2F11"/>
    <w:rsid w:val="7DB85D80"/>
    <w:rsid w:val="7DBA67DE"/>
    <w:rsid w:val="7DEE3421"/>
    <w:rsid w:val="7DF53ACA"/>
    <w:rsid w:val="7E53398F"/>
    <w:rsid w:val="7EC643CF"/>
    <w:rsid w:val="7EF61C43"/>
    <w:rsid w:val="7F0E4C61"/>
    <w:rsid w:val="7F55586C"/>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b/>
      <w:bCs/>
      <w:sz w:val="44"/>
      <w:szCs w:val="44"/>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2">
    <w:name w:val="heading 3"/>
    <w:basedOn w:val="1"/>
    <w:next w:val="1"/>
    <w:unhideWhenUsed/>
    <w:qFormat/>
    <w:uiPriority w:val="0"/>
    <w:pPr>
      <w:keepNext/>
      <w:keepLines/>
      <w:spacing w:before="260" w:beforeAutospacing="0" w:after="260" w:afterAutospacing="0" w:line="413" w:lineRule="auto"/>
      <w:outlineLvl w:val="2"/>
    </w:pPr>
    <w:rPr>
      <w:b/>
      <w:sz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1"/>
    <w:autoRedefine/>
    <w:unhideWhenUsed/>
    <w:qFormat/>
    <w:uiPriority w:val="0"/>
    <w:pPr>
      <w:spacing w:after="120"/>
    </w:pPr>
    <w:rPr>
      <w:rFonts w:ascii="Calibri" w:hAnsi="Calibri"/>
      <w:kern w:val="2"/>
      <w:szCs w:val="22"/>
    </w:rPr>
  </w:style>
  <w:style w:type="paragraph" w:styleId="7">
    <w:name w:val="Body Text Indent"/>
    <w:basedOn w:val="1"/>
    <w:qFormat/>
    <w:uiPriority w:val="99"/>
    <w:pPr>
      <w:ind w:firstLine="420"/>
    </w:pPr>
    <w:rPr>
      <w:sz w:val="24"/>
      <w:shd w:val="pct10" w:color="auto" w:fill="FFFFFF"/>
    </w:rPr>
  </w:style>
  <w:style w:type="paragraph" w:styleId="8">
    <w:name w:val="index 4"/>
    <w:basedOn w:val="1"/>
    <w:next w:val="1"/>
    <w:unhideWhenUsed/>
    <w:qFormat/>
    <w:uiPriority w:val="99"/>
    <w:pPr>
      <w:spacing w:before="100" w:beforeAutospacing="1" w:after="100" w:afterAutospacing="1"/>
      <w:ind w:left="600" w:leftChars="600"/>
    </w:pPr>
    <w:rPr>
      <w:rFonts w:ascii="宋体"/>
      <w:b/>
      <w:bCs/>
      <w:position w:val="-10"/>
      <w:sz w:val="24"/>
      <w:szCs w:val="22"/>
    </w:rPr>
  </w:style>
  <w:style w:type="paragraph" w:styleId="9">
    <w:name w:val="Plain Text"/>
    <w:basedOn w:val="1"/>
    <w:autoRedefine/>
    <w:unhideWhenUsed/>
    <w:qFormat/>
    <w:uiPriority w:val="0"/>
    <w:rPr>
      <w:rFonts w:ascii="宋体" w:hAnsi="Courier New" w:cs="Courier New"/>
      <w:kern w:val="2"/>
      <w:szCs w:val="21"/>
    </w:rPr>
  </w:style>
  <w:style w:type="paragraph" w:styleId="10">
    <w:name w:val="footer"/>
    <w:basedOn w:val="1"/>
    <w:link w:val="20"/>
    <w:autoRedefine/>
    <w:qFormat/>
    <w:uiPriority w:val="0"/>
    <w:pPr>
      <w:tabs>
        <w:tab w:val="center" w:pos="4153"/>
        <w:tab w:val="right" w:pos="8306"/>
      </w:tabs>
      <w:snapToGrid w:val="0"/>
      <w:jc w:val="left"/>
    </w:pPr>
    <w:rPr>
      <w:sz w:val="18"/>
      <w:szCs w:val="18"/>
    </w:rPr>
  </w:style>
  <w:style w:type="paragraph" w:styleId="11">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qFormat/>
    <w:uiPriority w:val="0"/>
    <w:pPr>
      <w:spacing w:beforeAutospacing="1" w:afterAutospacing="1"/>
      <w:jc w:val="left"/>
    </w:pPr>
    <w:rPr>
      <w:rFonts w:cs="Times New Roman"/>
      <w:kern w:val="0"/>
      <w:sz w:val="24"/>
    </w:rPr>
  </w:style>
  <w:style w:type="paragraph" w:styleId="13">
    <w:name w:val="Body Text First Indent"/>
    <w:basedOn w:val="6"/>
    <w:qFormat/>
    <w:uiPriority w:val="0"/>
    <w:pPr>
      <w:spacing w:after="0" w:line="360" w:lineRule="auto"/>
      <w:ind w:firstLine="200"/>
    </w:pPr>
    <w:rPr>
      <w:rFonts w:ascii="仿宋_GB2312" w:hAnsi="Arial" w:eastAsia="仿宋_GB2312"/>
      <w:sz w:val="30"/>
      <w:szCs w:val="30"/>
    </w:rPr>
  </w:style>
  <w:style w:type="table" w:styleId="15">
    <w:name w:val="Table Grid"/>
    <w:basedOn w:val="14"/>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7">
    <w:name w:val="目录 21"/>
    <w:basedOn w:val="1"/>
    <w:next w:val="1"/>
    <w:semiHidden/>
    <w:qFormat/>
    <w:uiPriority w:val="0"/>
    <w:pPr>
      <w:jc w:val="left"/>
    </w:pPr>
    <w:rPr>
      <w:rFonts w:ascii="宋体" w:hAnsi="宋体"/>
      <w:b/>
      <w:smallCaps/>
      <w:color w:val="000000"/>
      <w:szCs w:val="24"/>
      <w:u w:val="single"/>
    </w:rPr>
  </w:style>
  <w:style w:type="paragraph" w:customStyle="1" w:styleId="18">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9">
    <w:name w:val="页眉 Char"/>
    <w:basedOn w:val="16"/>
    <w:link w:val="11"/>
    <w:autoRedefine/>
    <w:qFormat/>
    <w:uiPriority w:val="0"/>
    <w:rPr>
      <w:rFonts w:asciiTheme="minorHAnsi" w:hAnsiTheme="minorHAnsi" w:eastAsiaTheme="minorEastAsia" w:cstheme="minorBidi"/>
      <w:kern w:val="2"/>
      <w:sz w:val="18"/>
      <w:szCs w:val="18"/>
    </w:rPr>
  </w:style>
  <w:style w:type="character" w:customStyle="1" w:styleId="20">
    <w:name w:val="页脚 Char"/>
    <w:basedOn w:val="16"/>
    <w:link w:val="10"/>
    <w:autoRedefine/>
    <w:qFormat/>
    <w:uiPriority w:val="0"/>
    <w:rPr>
      <w:rFonts w:asciiTheme="minorHAnsi" w:hAnsiTheme="minorHAnsi" w:eastAsiaTheme="minorEastAsia" w:cstheme="minorBidi"/>
      <w:kern w:val="2"/>
      <w:sz w:val="18"/>
      <w:szCs w:val="18"/>
    </w:rPr>
  </w:style>
  <w:style w:type="paragraph" w:customStyle="1" w:styleId="2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2">
    <w:name w:val="页脚1"/>
    <w:basedOn w:val="1"/>
    <w:autoRedefine/>
    <w:unhideWhenUsed/>
    <w:qFormat/>
    <w:uiPriority w:val="99"/>
    <w:pPr>
      <w:tabs>
        <w:tab w:val="center" w:pos="4153"/>
        <w:tab w:val="right" w:pos="8306"/>
      </w:tabs>
      <w:jc w:val="left"/>
    </w:pPr>
    <w:rPr>
      <w:sz w:val="18"/>
      <w:szCs w:val="18"/>
    </w:rPr>
  </w:style>
  <w:style w:type="paragraph" w:customStyle="1" w:styleId="23">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4">
    <w:name w:val="正文首行缩进 21"/>
    <w:basedOn w:val="25"/>
    <w:qFormat/>
    <w:uiPriority w:val="0"/>
    <w:pPr>
      <w:ind w:firstLine="420"/>
    </w:pPr>
  </w:style>
  <w:style w:type="paragraph" w:customStyle="1" w:styleId="25">
    <w:name w:val="正文文本缩进1"/>
    <w:basedOn w:val="1"/>
    <w:qFormat/>
    <w:uiPriority w:val="0"/>
    <w:pPr>
      <w:spacing w:after="120"/>
      <w:ind w:left="420"/>
    </w:pPr>
  </w:style>
  <w:style w:type="paragraph" w:customStyle="1" w:styleId="26">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styleId="27">
    <w:name w:val="List Paragraph"/>
    <w:basedOn w:val="1"/>
    <w:qFormat/>
    <w:uiPriority w:val="34"/>
    <w:pPr>
      <w:ind w:firstLine="420" w:firstLineChars="200"/>
    </w:pPr>
  </w:style>
  <w:style w:type="paragraph" w:customStyle="1" w:styleId="28">
    <w:name w:val="列出段落1"/>
    <w:basedOn w:val="1"/>
    <w:qFormat/>
    <w:uiPriority w:val="34"/>
    <w:pPr>
      <w:ind w:firstLine="420" w:firstLineChars="200"/>
    </w:pPr>
  </w:style>
  <w:style w:type="paragraph" w:customStyle="1" w:styleId="29">
    <w:name w:val="普通(网站)111"/>
    <w:basedOn w:val="1"/>
    <w:qFormat/>
    <w:uiPriority w:val="0"/>
    <w:pPr>
      <w:spacing w:beforeAutospacing="1" w:afterAutospacing="1"/>
      <w:jc w:val="left"/>
    </w:pPr>
    <w:rPr>
      <w:sz w:val="24"/>
    </w:rPr>
  </w:style>
  <w:style w:type="paragraph" w:customStyle="1" w:styleId="30">
    <w:name w:val="普通(网站)112"/>
    <w:basedOn w:val="1"/>
    <w:qFormat/>
    <w:uiPriority w:val="0"/>
    <w:pPr>
      <w:spacing w:beforeAutospacing="1" w:afterAutospacing="1"/>
      <w:jc w:val="left"/>
    </w:pPr>
    <w:rPr>
      <w:sz w:val="24"/>
    </w:rPr>
  </w:style>
  <w:style w:type="character" w:customStyle="1" w:styleId="31">
    <w:name w:val="font11"/>
    <w:basedOn w:val="16"/>
    <w:qFormat/>
    <w:uiPriority w:val="0"/>
    <w:rPr>
      <w:rFonts w:hint="eastAsia" w:ascii="宋体" w:hAnsi="宋体" w:eastAsia="宋体" w:cs="宋体"/>
      <w:b/>
      <w:bCs/>
      <w:color w:val="000000"/>
      <w:sz w:val="22"/>
      <w:szCs w:val="22"/>
      <w:u w:val="none"/>
    </w:rPr>
  </w:style>
  <w:style w:type="character" w:customStyle="1" w:styleId="32">
    <w:name w:val="font41"/>
    <w:basedOn w:val="16"/>
    <w:qFormat/>
    <w:uiPriority w:val="0"/>
    <w:rPr>
      <w:rFonts w:hint="eastAsia" w:ascii="宋体" w:hAnsi="宋体" w:eastAsia="宋体" w:cs="宋体"/>
      <w:color w:val="000000"/>
      <w:sz w:val="22"/>
      <w:szCs w:val="22"/>
      <w:u w:val="none"/>
    </w:rPr>
  </w:style>
  <w:style w:type="character" w:customStyle="1" w:styleId="33">
    <w:name w:val="font61"/>
    <w:basedOn w:val="16"/>
    <w:qFormat/>
    <w:uiPriority w:val="0"/>
    <w:rPr>
      <w:rFonts w:hint="eastAsia" w:ascii="宋体" w:hAnsi="宋体" w:eastAsia="宋体" w:cs="宋体"/>
      <w:color w:val="FF0000"/>
      <w:sz w:val="22"/>
      <w:szCs w:val="22"/>
      <w:u w:val="none"/>
    </w:rPr>
  </w:style>
  <w:style w:type="character" w:customStyle="1" w:styleId="34">
    <w:name w:val="font51"/>
    <w:basedOn w:val="16"/>
    <w:qFormat/>
    <w:uiPriority w:val="0"/>
    <w:rPr>
      <w:rFonts w:hint="default" w:ascii="Arial" w:hAnsi="Arial" w:cs="Arial"/>
      <w:color w:val="000000"/>
      <w:sz w:val="22"/>
      <w:szCs w:val="22"/>
      <w:u w:val="none"/>
    </w:rPr>
  </w:style>
  <w:style w:type="character" w:customStyle="1" w:styleId="35">
    <w:name w:val="font31"/>
    <w:basedOn w:val="16"/>
    <w:qFormat/>
    <w:uiPriority w:val="0"/>
    <w:rPr>
      <w:rFonts w:hint="default" w:ascii="Arial" w:hAnsi="Arial" w:cs="Arial"/>
      <w:color w:val="000000"/>
      <w:sz w:val="22"/>
      <w:szCs w:val="22"/>
      <w:u w:val="none"/>
    </w:rPr>
  </w:style>
  <w:style w:type="character" w:customStyle="1" w:styleId="36">
    <w:name w:val="font81"/>
    <w:basedOn w:val="16"/>
    <w:qFormat/>
    <w:uiPriority w:val="0"/>
    <w:rPr>
      <w:rFonts w:hint="default" w:ascii="Arial" w:hAnsi="Arial" w:cs="Arial"/>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47</Pages>
  <Words>12268</Words>
  <Characters>13267</Characters>
  <Lines>183</Lines>
  <Paragraphs>51</Paragraphs>
  <TotalTime>7</TotalTime>
  <ScaleCrop>false</ScaleCrop>
  <LinksUpToDate>false</LinksUpToDate>
  <CharactersWithSpaces>13486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cp:lastModifiedBy>
  <dcterms:modified xsi:type="dcterms:W3CDTF">2025-12-26T05:48:40Z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3CFAE6007AA848BC880A9709B3F26693_13</vt:lpwstr>
  </property>
  <property fmtid="{D5CDD505-2E9C-101B-9397-08002B2CF9AE}" pid="4" name="KSOTemplateDocerSaveRecord">
    <vt:lpwstr>eyJoZGlkIjoiMzU1YTZkYmI0NWIzZTJkNzQyN2E4Zjg4NjRkYWExM2EiLCJ1c2VySWQiOiIxMTM5NjU5Njg2In0=</vt:lpwstr>
  </property>
</Properties>
</file>